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24" w:rsidRDefault="00063324" w:rsidP="00063324">
      <w:pPr>
        <w:rPr>
          <w:rFonts w:ascii="Soberana Sans Light" w:hAnsi="Soberana Sans Light"/>
        </w:rPr>
      </w:pPr>
    </w:p>
    <w:p w:rsidR="00444A73" w:rsidRPr="0075286D" w:rsidRDefault="00444A73" w:rsidP="00063324">
      <w:pPr>
        <w:rPr>
          <w:rFonts w:ascii="Soberana Sans Light" w:hAnsi="Soberana Sans Light"/>
        </w:rPr>
      </w:pPr>
    </w:p>
    <w:p w:rsidR="00063324" w:rsidRPr="00BF1D44" w:rsidRDefault="00063324" w:rsidP="00063324">
      <w:pPr>
        <w:pStyle w:val="Citadestacada"/>
        <w:rPr>
          <w:rFonts w:ascii="Montserrat" w:hAnsi="Montserrat"/>
          <w:b/>
          <w:color w:val="000000"/>
          <w:sz w:val="36"/>
          <w:szCs w:val="36"/>
        </w:rPr>
      </w:pPr>
      <w:r w:rsidRPr="00BF1D44">
        <w:rPr>
          <w:rFonts w:ascii="Montserrat" w:hAnsi="Montserrat"/>
          <w:b/>
          <w:color w:val="000000"/>
          <w:sz w:val="36"/>
          <w:szCs w:val="36"/>
        </w:rPr>
        <w:t xml:space="preserve">ESQUEMA DE CONTRALORÍA SOCIAL </w:t>
      </w:r>
    </w:p>
    <w:p w:rsidR="00A44C5F" w:rsidRDefault="00A44C5F" w:rsidP="00D14497">
      <w:pPr>
        <w:ind w:left="567" w:hanging="567"/>
        <w:jc w:val="center"/>
        <w:rPr>
          <w:b/>
          <w:color w:val="000000"/>
          <w:sz w:val="32"/>
          <w:szCs w:val="32"/>
        </w:rPr>
      </w:pPr>
    </w:p>
    <w:p w:rsidR="00444A73" w:rsidRDefault="00444A73" w:rsidP="00D14497">
      <w:pPr>
        <w:ind w:left="567" w:hanging="567"/>
        <w:jc w:val="center"/>
        <w:rPr>
          <w:b/>
          <w:color w:val="000000"/>
          <w:sz w:val="32"/>
          <w:szCs w:val="32"/>
        </w:rPr>
      </w:pPr>
    </w:p>
    <w:p w:rsidR="00D14497" w:rsidRPr="00BF1D44" w:rsidRDefault="008E0973" w:rsidP="00D14497">
      <w:pPr>
        <w:ind w:left="567" w:hanging="567"/>
        <w:jc w:val="center"/>
        <w:rPr>
          <w:rFonts w:ascii="Montserrat" w:hAnsi="Montserrat"/>
          <w:b/>
          <w:color w:val="000000"/>
          <w:sz w:val="32"/>
          <w:szCs w:val="32"/>
        </w:rPr>
      </w:pPr>
      <w:r>
        <w:rPr>
          <w:rFonts w:ascii="Montserrat" w:hAnsi="Montserrat"/>
          <w:b/>
          <w:color w:val="000000"/>
          <w:sz w:val="32"/>
          <w:szCs w:val="32"/>
        </w:rPr>
        <w:t>PROGRAMA ATENCIÓN A LA DIVERSIDAD DE LA EDUCACIÓN INDÍGENA</w:t>
      </w:r>
      <w:r w:rsidR="001D50BB">
        <w:rPr>
          <w:rFonts w:ascii="Montserrat" w:hAnsi="Montserrat"/>
          <w:b/>
          <w:color w:val="000000"/>
          <w:sz w:val="32"/>
          <w:szCs w:val="32"/>
        </w:rPr>
        <w:t xml:space="preserve"> (PADEI)</w:t>
      </w:r>
    </w:p>
    <w:p w:rsidR="00BF1D44" w:rsidRDefault="00D14497" w:rsidP="00BF1D44">
      <w:pPr>
        <w:ind w:left="567" w:hanging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D14497" w:rsidRPr="00BF1D44" w:rsidRDefault="00D14497" w:rsidP="00D14497">
      <w:pPr>
        <w:ind w:left="567" w:hanging="567"/>
        <w:jc w:val="center"/>
        <w:rPr>
          <w:rFonts w:ascii="Montserrat" w:hAnsi="Montserrat"/>
          <w:b/>
          <w:color w:val="000000"/>
        </w:rPr>
      </w:pPr>
      <w:r w:rsidRPr="00BF1D44">
        <w:rPr>
          <w:rFonts w:ascii="Montserrat" w:hAnsi="Montserrat"/>
          <w:b/>
          <w:color w:val="000000"/>
        </w:rPr>
        <w:t xml:space="preserve">Para </w:t>
      </w:r>
      <w:r w:rsidR="001D50BB">
        <w:rPr>
          <w:rFonts w:ascii="Montserrat" w:hAnsi="Montserrat"/>
          <w:b/>
          <w:color w:val="000000"/>
        </w:rPr>
        <w:t>que las alumnas y alumnos que asisten a escuelas de Educación Indígena cuenten con mayores posibilidades de concluir la educación básica obligatoria</w:t>
      </w:r>
    </w:p>
    <w:p w:rsidR="00D14497" w:rsidRDefault="00D14497" w:rsidP="00D14497">
      <w:pPr>
        <w:ind w:left="567" w:hanging="567"/>
        <w:jc w:val="center"/>
        <w:rPr>
          <w:b/>
          <w:color w:val="000000"/>
          <w:sz w:val="32"/>
          <w:szCs w:val="32"/>
        </w:rPr>
      </w:pPr>
    </w:p>
    <w:p w:rsidR="00D14497" w:rsidRDefault="00D14497" w:rsidP="00D14497">
      <w:pPr>
        <w:ind w:left="567" w:hanging="567"/>
        <w:jc w:val="center"/>
        <w:rPr>
          <w:b/>
          <w:color w:val="000000"/>
          <w:sz w:val="32"/>
          <w:szCs w:val="32"/>
        </w:rPr>
      </w:pPr>
    </w:p>
    <w:p w:rsidR="00D14497" w:rsidRDefault="00D14497" w:rsidP="00D14497">
      <w:pPr>
        <w:ind w:left="567" w:hanging="567"/>
        <w:jc w:val="center"/>
        <w:rPr>
          <w:b/>
          <w:color w:val="000000"/>
          <w:sz w:val="32"/>
          <w:szCs w:val="32"/>
        </w:rPr>
      </w:pPr>
    </w:p>
    <w:p w:rsidR="00D14497" w:rsidRPr="003C72FF" w:rsidRDefault="00D14497" w:rsidP="00D14497">
      <w:pPr>
        <w:ind w:left="567" w:hanging="567"/>
        <w:jc w:val="center"/>
        <w:rPr>
          <w:rFonts w:eastAsia="Calibri" w:cstheme="minorHAnsi"/>
          <w:sz w:val="18"/>
          <w:szCs w:val="18"/>
          <w:lang w:val="es-MX"/>
        </w:rPr>
      </w:pPr>
    </w:p>
    <w:p w:rsidR="00063324" w:rsidRPr="00BF1D44" w:rsidRDefault="00D14497" w:rsidP="00D14497">
      <w:pPr>
        <w:pStyle w:val="Citadestacada"/>
        <w:pBdr>
          <w:top w:val="none" w:sz="0" w:space="0" w:color="auto"/>
          <w:bottom w:val="none" w:sz="0" w:space="0" w:color="auto"/>
        </w:pBdr>
        <w:rPr>
          <w:rFonts w:ascii="Montserrat" w:hAnsi="Montserrat"/>
          <w:b/>
          <w:color w:val="000000"/>
          <w:sz w:val="40"/>
          <w:szCs w:val="40"/>
        </w:rPr>
      </w:pPr>
      <w:r w:rsidRPr="00BF1D44">
        <w:rPr>
          <w:rFonts w:ascii="Montserrat" w:hAnsi="Montserrat"/>
          <w:b/>
          <w:color w:val="000000"/>
          <w:sz w:val="40"/>
          <w:szCs w:val="40"/>
        </w:rPr>
        <w:t>2020</w:t>
      </w:r>
    </w:p>
    <w:p w:rsidR="00063324" w:rsidRDefault="00063324" w:rsidP="00063324">
      <w:pPr>
        <w:jc w:val="center"/>
        <w:rPr>
          <w:rFonts w:ascii="Soberana Sans Light" w:hAnsi="Soberana Sans Light"/>
          <w:b/>
          <w:bCs/>
          <w:sz w:val="28"/>
          <w:szCs w:val="28"/>
        </w:rPr>
      </w:pPr>
    </w:p>
    <w:p w:rsidR="00063324" w:rsidRPr="000A7D37" w:rsidRDefault="00FB73FC" w:rsidP="00063324">
      <w:pPr>
        <w:jc w:val="center"/>
        <w:rPr>
          <w:rFonts w:ascii="Soberana Sans Light" w:hAnsi="Soberana Sans Light"/>
          <w:b/>
          <w:bCs/>
          <w:sz w:val="28"/>
          <w:szCs w:val="28"/>
        </w:rPr>
      </w:pPr>
      <w:r w:rsidRPr="00FB73FC">
        <w:rPr>
          <w:rFonts w:ascii="Soberana Sans Light" w:hAnsi="Soberana Sans Light"/>
          <w:b/>
          <w:bCs/>
          <w:noProof/>
          <w:sz w:val="28"/>
          <w:szCs w:val="28"/>
          <w:lang w:val="es-MX" w:eastAsia="es-MX"/>
        </w:rPr>
        <w:drawing>
          <wp:inline distT="0" distB="0" distL="0" distR="0">
            <wp:extent cx="3667125" cy="2162175"/>
            <wp:effectExtent l="0" t="0" r="9525" b="9525"/>
            <wp:docPr id="4" name="Imagen 4" descr="Contraloría Social PROREST | Comisión Nacional de Áreas Natur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ntraloría Social PROREST | Comisión Nacional de Áreas Naturale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324" w:rsidRDefault="00063324" w:rsidP="00063324">
      <w:pPr>
        <w:jc w:val="both"/>
        <w:rPr>
          <w:rFonts w:ascii="Soberana Sans Light" w:hAnsi="Soberana Sans Light"/>
        </w:rPr>
      </w:pPr>
    </w:p>
    <w:p w:rsidR="00063324" w:rsidRDefault="00063324" w:rsidP="00063324">
      <w:pPr>
        <w:jc w:val="both"/>
        <w:rPr>
          <w:rFonts w:ascii="Soberana Sans Light" w:hAnsi="Soberana Sans Light"/>
        </w:rPr>
      </w:pPr>
    </w:p>
    <w:p w:rsidR="00063324" w:rsidRDefault="00063324" w:rsidP="00063324">
      <w:pPr>
        <w:jc w:val="both"/>
        <w:rPr>
          <w:rFonts w:ascii="Soberana Sans Light" w:hAnsi="Soberana Sans Light"/>
        </w:rPr>
      </w:pPr>
    </w:p>
    <w:p w:rsidR="00063324" w:rsidRDefault="00063324" w:rsidP="00063324">
      <w:pPr>
        <w:jc w:val="both"/>
        <w:rPr>
          <w:rFonts w:ascii="Soberana Sans Light" w:hAnsi="Soberana Sans Light"/>
        </w:rPr>
      </w:pPr>
    </w:p>
    <w:p w:rsidR="00FB73FC" w:rsidRDefault="00FB73FC" w:rsidP="00063324">
      <w:pPr>
        <w:jc w:val="both"/>
        <w:rPr>
          <w:rFonts w:ascii="Soberana Sans Light" w:hAnsi="Soberana Sans Light"/>
        </w:rPr>
      </w:pPr>
    </w:p>
    <w:p w:rsidR="004411B9" w:rsidRPr="00BF1D44" w:rsidRDefault="007F385A" w:rsidP="004411B9">
      <w:pPr>
        <w:shd w:val="clear" w:color="auto" w:fill="D9D9D9"/>
        <w:autoSpaceDE w:val="0"/>
        <w:autoSpaceDN w:val="0"/>
        <w:adjustRightInd w:val="0"/>
        <w:ind w:left="1080"/>
        <w:jc w:val="right"/>
        <w:rPr>
          <w:rFonts w:ascii="Montserrat" w:eastAsia="DejaVu Sans" w:hAnsi="Montserrat" w:cs="Times New Roman"/>
          <w:b/>
          <w:kern w:val="1"/>
          <w:sz w:val="22"/>
          <w:szCs w:val="22"/>
          <w:lang w:val="es-ES"/>
        </w:rPr>
      </w:pPr>
      <w:proofErr w:type="gramStart"/>
      <w:r>
        <w:rPr>
          <w:rFonts w:ascii="Montserrat" w:eastAsia="DejaVu Sans" w:hAnsi="Montserrat" w:cs="Times New Roman"/>
          <w:b/>
          <w:kern w:val="1"/>
          <w:sz w:val="22"/>
          <w:szCs w:val="22"/>
          <w:lang w:val="es-ES"/>
        </w:rPr>
        <w:t>octubre</w:t>
      </w:r>
      <w:proofErr w:type="gramEnd"/>
      <w:r w:rsidR="00D14497" w:rsidRPr="00BF1D44">
        <w:rPr>
          <w:rFonts w:ascii="Montserrat" w:eastAsia="DejaVu Sans" w:hAnsi="Montserrat" w:cs="Times New Roman"/>
          <w:b/>
          <w:kern w:val="1"/>
          <w:sz w:val="22"/>
          <w:szCs w:val="22"/>
          <w:lang w:val="es-ES"/>
        </w:rPr>
        <w:t xml:space="preserve"> de 2020</w:t>
      </w:r>
    </w:p>
    <w:p w:rsidR="00063324" w:rsidRPr="004411B9" w:rsidRDefault="00063324" w:rsidP="00063324">
      <w:pPr>
        <w:jc w:val="both"/>
        <w:rPr>
          <w:rFonts w:ascii="Soberana Sans Light" w:hAnsi="Soberana Sans Light"/>
          <w:lang w:val="es-ES"/>
        </w:rPr>
      </w:pPr>
    </w:p>
    <w:p w:rsidR="00E85088" w:rsidRPr="00F655D2" w:rsidRDefault="00E85088" w:rsidP="00063324">
      <w:pPr>
        <w:autoSpaceDE w:val="0"/>
        <w:autoSpaceDN w:val="0"/>
        <w:adjustRightInd w:val="0"/>
        <w:ind w:left="1985"/>
        <w:jc w:val="both"/>
        <w:rPr>
          <w:b/>
        </w:rPr>
      </w:pPr>
    </w:p>
    <w:p w:rsidR="00063324" w:rsidRPr="00BF1D44" w:rsidRDefault="00063324" w:rsidP="00063324">
      <w:pPr>
        <w:jc w:val="both"/>
        <w:rPr>
          <w:rFonts w:ascii="Montserrat" w:hAnsi="Montserrat" w:cs="Calibri"/>
          <w:b/>
          <w:smallCaps/>
          <w:kern w:val="22"/>
          <w:sz w:val="20"/>
          <w:szCs w:val="20"/>
        </w:rPr>
      </w:pPr>
      <w:r w:rsidRPr="00BF1D44">
        <w:rPr>
          <w:rFonts w:ascii="Montserrat" w:hAnsi="Montserrat" w:cs="Calibri"/>
          <w:b/>
          <w:smallCaps/>
          <w:kern w:val="22"/>
          <w:sz w:val="20"/>
          <w:szCs w:val="20"/>
        </w:rPr>
        <w:t>ESQUEMA DE CONTRALORÍA SOCIAL</w:t>
      </w:r>
    </w:p>
    <w:p w:rsidR="00063324" w:rsidRPr="00AD1C4D" w:rsidRDefault="00063324" w:rsidP="00063324">
      <w:pPr>
        <w:jc w:val="both"/>
        <w:rPr>
          <w:rFonts w:ascii="Calibri" w:hAnsi="Calibri" w:cs="Calibri"/>
        </w:rPr>
      </w:pPr>
    </w:p>
    <w:p w:rsidR="00063324" w:rsidRPr="00BF1D44" w:rsidRDefault="00063324" w:rsidP="00063324">
      <w:pPr>
        <w:spacing w:line="276" w:lineRule="auto"/>
        <w:jc w:val="both"/>
        <w:rPr>
          <w:rFonts w:ascii="Montserrat" w:hAnsi="Montserrat" w:cs="Calibri"/>
          <w:sz w:val="20"/>
          <w:szCs w:val="20"/>
        </w:rPr>
      </w:pPr>
      <w:r w:rsidRPr="00BF1D44">
        <w:rPr>
          <w:rFonts w:ascii="Montserrat" w:hAnsi="Montserrat" w:cs="Calibri"/>
          <w:sz w:val="20"/>
          <w:szCs w:val="20"/>
        </w:rPr>
        <w:t xml:space="preserve">De conformidad con los “Lineamientos para la promoción y operación de la Contraloría Social en los Programas Federales de Desarrollo Social”, vigentes y con el apartado 7.2 de las Reglas de Operación del Programa </w:t>
      </w:r>
      <w:r w:rsidR="007F385A">
        <w:rPr>
          <w:rFonts w:ascii="Montserrat" w:hAnsi="Montserrat" w:cs="Calibri"/>
          <w:sz w:val="20"/>
          <w:szCs w:val="20"/>
        </w:rPr>
        <w:t xml:space="preserve">Atención </w:t>
      </w:r>
      <w:r w:rsidR="00D15242">
        <w:rPr>
          <w:rFonts w:ascii="Montserrat" w:hAnsi="Montserrat" w:cs="Calibri"/>
          <w:sz w:val="20"/>
          <w:szCs w:val="20"/>
        </w:rPr>
        <w:t xml:space="preserve">a la Diversidad de la Educación Indígena (PADEI) </w:t>
      </w:r>
      <w:r w:rsidR="00D14497" w:rsidRPr="00BF1D44">
        <w:rPr>
          <w:rFonts w:ascii="Montserrat" w:hAnsi="Montserrat" w:cs="Calibri"/>
          <w:sz w:val="20"/>
          <w:szCs w:val="20"/>
        </w:rPr>
        <w:t>2020</w:t>
      </w:r>
      <w:r w:rsidRPr="00BF1D44">
        <w:rPr>
          <w:rFonts w:ascii="Montserrat" w:hAnsi="Montserrat" w:cs="Calibri"/>
          <w:sz w:val="20"/>
          <w:szCs w:val="20"/>
        </w:rPr>
        <w:t>, la Dirección General de Educación Indígena</w:t>
      </w:r>
      <w:r w:rsidR="00EA0C5A">
        <w:rPr>
          <w:rFonts w:ascii="Montserrat" w:hAnsi="Montserrat" w:cs="Calibri"/>
          <w:sz w:val="20"/>
          <w:szCs w:val="20"/>
        </w:rPr>
        <w:t>, Intercultural y Bilingüe</w:t>
      </w:r>
      <w:r w:rsidRPr="00BF1D44">
        <w:rPr>
          <w:rFonts w:ascii="Montserrat" w:hAnsi="Montserrat" w:cs="Calibri"/>
          <w:sz w:val="20"/>
          <w:szCs w:val="20"/>
        </w:rPr>
        <w:t xml:space="preserve"> (</w:t>
      </w:r>
      <w:proofErr w:type="spellStart"/>
      <w:r w:rsidRPr="00BF1D44">
        <w:rPr>
          <w:rFonts w:ascii="Montserrat" w:hAnsi="Montserrat" w:cs="Calibri"/>
          <w:sz w:val="20"/>
          <w:szCs w:val="20"/>
        </w:rPr>
        <w:t>DGEI</w:t>
      </w:r>
      <w:r w:rsidR="00EA0C5A">
        <w:rPr>
          <w:rFonts w:ascii="Montserrat" w:hAnsi="Montserrat" w:cs="Calibri"/>
          <w:sz w:val="20"/>
          <w:szCs w:val="20"/>
        </w:rPr>
        <w:t>IyB</w:t>
      </w:r>
      <w:proofErr w:type="spellEnd"/>
      <w:r w:rsidRPr="00BF1D44">
        <w:rPr>
          <w:rFonts w:ascii="Montserrat" w:hAnsi="Montserrat" w:cs="Calibri"/>
          <w:sz w:val="20"/>
          <w:szCs w:val="20"/>
        </w:rPr>
        <w:t>), conjuntamente con las Autoridades Educativas Locales (AEL) (a través de su Enlace Estatal de Contraloría Social designado) y de las Coo</w:t>
      </w:r>
      <w:r w:rsidR="00D15242">
        <w:rPr>
          <w:rFonts w:ascii="Montserrat" w:hAnsi="Montserrat" w:cs="Calibri"/>
          <w:sz w:val="20"/>
          <w:szCs w:val="20"/>
        </w:rPr>
        <w:t>rdinaciones Estatales del PADEI</w:t>
      </w:r>
      <w:r w:rsidR="00895510" w:rsidRPr="00BF1D44">
        <w:rPr>
          <w:rFonts w:ascii="Montserrat" w:hAnsi="Montserrat" w:cs="Calibri"/>
          <w:sz w:val="20"/>
          <w:szCs w:val="20"/>
        </w:rPr>
        <w:t>, l</w:t>
      </w:r>
      <w:r w:rsidRPr="00BF1D44">
        <w:rPr>
          <w:rFonts w:ascii="Montserrat" w:hAnsi="Montserrat" w:cs="Calibri"/>
          <w:sz w:val="20"/>
          <w:szCs w:val="20"/>
        </w:rPr>
        <w:t>levarán a cabo actividades de promoción de contraloría social en el contexto de</w:t>
      </w:r>
      <w:r w:rsidR="00D15242">
        <w:rPr>
          <w:rFonts w:ascii="Montserrat" w:hAnsi="Montserrat" w:cs="Calibri"/>
          <w:sz w:val="20"/>
          <w:szCs w:val="20"/>
        </w:rPr>
        <w:t>l Programa</w:t>
      </w:r>
      <w:r w:rsidR="00895510" w:rsidRPr="00BF1D44">
        <w:rPr>
          <w:rFonts w:ascii="Montserrat" w:hAnsi="Montserrat" w:cs="Calibri"/>
          <w:sz w:val="20"/>
          <w:szCs w:val="20"/>
        </w:rPr>
        <w:t>.</w:t>
      </w:r>
    </w:p>
    <w:p w:rsidR="00063324" w:rsidRPr="00BF1D44" w:rsidRDefault="00063324" w:rsidP="00063324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:rsidR="00063324" w:rsidRPr="00BF1D44" w:rsidRDefault="00063324" w:rsidP="00063324">
      <w:pPr>
        <w:widowControl w:val="0"/>
        <w:numPr>
          <w:ilvl w:val="0"/>
          <w:numId w:val="26"/>
        </w:numPr>
        <w:suppressAutoHyphens/>
        <w:jc w:val="both"/>
        <w:rPr>
          <w:rFonts w:ascii="Montserrat" w:hAnsi="Montserrat" w:cs="Calibri"/>
          <w:b/>
          <w:smallCaps/>
          <w:kern w:val="22"/>
          <w:sz w:val="20"/>
          <w:szCs w:val="20"/>
        </w:rPr>
      </w:pPr>
      <w:r w:rsidRPr="00BF1D44">
        <w:rPr>
          <w:rFonts w:ascii="Montserrat" w:hAnsi="Montserrat" w:cs="Calibri"/>
          <w:b/>
          <w:smallCaps/>
          <w:kern w:val="22"/>
          <w:sz w:val="20"/>
          <w:szCs w:val="20"/>
        </w:rPr>
        <w:t>DIFUSIÓN</w:t>
      </w:r>
    </w:p>
    <w:p w:rsidR="00063324" w:rsidRPr="00BF1D44" w:rsidRDefault="00063324" w:rsidP="00063324">
      <w:pPr>
        <w:ind w:left="720"/>
        <w:jc w:val="both"/>
        <w:rPr>
          <w:rFonts w:ascii="Montserrat" w:hAnsi="Montserrat" w:cs="Calibri"/>
          <w:b/>
          <w:smallCaps/>
          <w:kern w:val="22"/>
          <w:sz w:val="20"/>
          <w:szCs w:val="20"/>
        </w:rPr>
      </w:pPr>
    </w:p>
    <w:p w:rsidR="00063324" w:rsidRPr="00D15242" w:rsidRDefault="00063324" w:rsidP="00D15242">
      <w:pPr>
        <w:pStyle w:val="Prrafodelista"/>
        <w:numPr>
          <w:ilvl w:val="1"/>
          <w:numId w:val="29"/>
        </w:numPr>
        <w:jc w:val="both"/>
        <w:rPr>
          <w:rFonts w:ascii="Montserrat" w:hAnsi="Montserrat" w:cs="Calibri"/>
          <w:sz w:val="20"/>
          <w:szCs w:val="20"/>
        </w:rPr>
      </w:pPr>
      <w:r w:rsidRPr="00D15242">
        <w:rPr>
          <w:rFonts w:ascii="Montserrat" w:hAnsi="Montserrat" w:cs="Calibri"/>
          <w:b/>
          <w:sz w:val="20"/>
          <w:szCs w:val="20"/>
          <w:lang w:val="es-MX"/>
        </w:rPr>
        <w:t xml:space="preserve">De los medios de difusión </w:t>
      </w:r>
      <w:r w:rsidR="00D15242" w:rsidRPr="00D15242">
        <w:rPr>
          <w:rFonts w:ascii="Montserrat" w:hAnsi="Montserrat" w:cs="Calibri"/>
          <w:sz w:val="20"/>
          <w:szCs w:val="20"/>
        </w:rPr>
        <w:t>del Programa Atención a la de la Educación Indígena (PADEI</w:t>
      </w:r>
    </w:p>
    <w:p w:rsidR="00D15242" w:rsidRPr="00D15242" w:rsidRDefault="00D15242" w:rsidP="00D15242">
      <w:pPr>
        <w:pStyle w:val="Prrafodelista"/>
        <w:ind w:left="1429"/>
        <w:jc w:val="both"/>
        <w:rPr>
          <w:rFonts w:ascii="Montserrat" w:hAnsi="Montserrat" w:cs="Calibri"/>
          <w:sz w:val="20"/>
          <w:szCs w:val="20"/>
        </w:rPr>
      </w:pPr>
    </w:p>
    <w:p w:rsidR="00063324" w:rsidRPr="00BF1D44" w:rsidRDefault="00063324" w:rsidP="00063324">
      <w:pPr>
        <w:shd w:val="clear" w:color="auto" w:fill="FFFFFF"/>
        <w:spacing w:line="276" w:lineRule="auto"/>
        <w:jc w:val="both"/>
        <w:rPr>
          <w:rFonts w:ascii="Montserrat" w:hAnsi="Montserrat" w:cs="Calibri"/>
          <w:sz w:val="20"/>
          <w:szCs w:val="20"/>
        </w:rPr>
      </w:pPr>
      <w:r w:rsidRPr="00BF1D44">
        <w:rPr>
          <w:rFonts w:ascii="Montserrat" w:hAnsi="Montserrat" w:cs="Calibri"/>
          <w:sz w:val="20"/>
          <w:szCs w:val="20"/>
        </w:rPr>
        <w:t xml:space="preserve">Para llevar a cabo la difusión de las características y monto de los apoyos </w:t>
      </w:r>
      <w:r w:rsidR="00D15242" w:rsidRPr="00BF1D44">
        <w:rPr>
          <w:rFonts w:ascii="Montserrat" w:hAnsi="Montserrat" w:cs="Calibri"/>
          <w:sz w:val="20"/>
          <w:szCs w:val="20"/>
        </w:rPr>
        <w:t xml:space="preserve">del Programa </w:t>
      </w:r>
      <w:r w:rsidR="00D15242">
        <w:rPr>
          <w:rFonts w:ascii="Montserrat" w:hAnsi="Montserrat" w:cs="Calibri"/>
          <w:sz w:val="20"/>
          <w:szCs w:val="20"/>
        </w:rPr>
        <w:t>Atención de la Diversidad de la Educación Indígena (PADEI)</w:t>
      </w:r>
      <w:r w:rsidRPr="00BF1D44">
        <w:rPr>
          <w:rFonts w:ascii="Montserrat" w:hAnsi="Montserrat" w:cs="Calibri"/>
          <w:sz w:val="20"/>
          <w:szCs w:val="20"/>
        </w:rPr>
        <w:t>, se pondrá a disposición del personal de las Coordinaciones Estatales “El folleto informativo de Contraloría Social” y un cartel prototipo</w:t>
      </w:r>
      <w:r w:rsidR="00D15242">
        <w:rPr>
          <w:rFonts w:ascii="Montserrat" w:hAnsi="Montserrat" w:cs="Calibri"/>
          <w:sz w:val="20"/>
          <w:szCs w:val="20"/>
        </w:rPr>
        <w:t>. L</w:t>
      </w:r>
      <w:r w:rsidRPr="00BF1D44">
        <w:rPr>
          <w:rFonts w:ascii="Montserrat" w:hAnsi="Montserrat" w:cs="Calibri"/>
          <w:sz w:val="20"/>
          <w:szCs w:val="20"/>
        </w:rPr>
        <w:t>as Coordinaciones Estatales deberán adecuar los datos de contacto de la entidad federativa correspondiente, y con ello estar e</w:t>
      </w:r>
      <w:r w:rsidR="00D15242">
        <w:rPr>
          <w:rFonts w:ascii="Montserrat" w:hAnsi="Montserrat" w:cs="Calibri"/>
          <w:sz w:val="20"/>
          <w:szCs w:val="20"/>
        </w:rPr>
        <w:t xml:space="preserve">n posibilidad de llevar a cabo </w:t>
      </w:r>
      <w:r w:rsidRPr="00BF1D44">
        <w:rPr>
          <w:rFonts w:ascii="Montserrat" w:hAnsi="Montserrat" w:cs="Calibri"/>
          <w:sz w:val="20"/>
          <w:szCs w:val="20"/>
        </w:rPr>
        <w:t xml:space="preserve">su reproducción y distribución en las escuelas, plazas comunitarias e instituciones que </w:t>
      </w:r>
      <w:r w:rsidR="00D15242">
        <w:rPr>
          <w:rFonts w:ascii="Montserrat" w:hAnsi="Montserrat" w:cs="Calibri"/>
          <w:sz w:val="20"/>
          <w:szCs w:val="20"/>
        </w:rPr>
        <w:t>apoyan en la difusión del PADEI</w:t>
      </w:r>
      <w:r w:rsidRPr="00BF1D44">
        <w:rPr>
          <w:rFonts w:ascii="Montserrat" w:hAnsi="Montserrat" w:cs="Calibri"/>
          <w:sz w:val="20"/>
          <w:szCs w:val="20"/>
        </w:rPr>
        <w:t xml:space="preserve">. Se buscará que este cartel se encuentre en los lugares donde </w:t>
      </w:r>
      <w:r w:rsidR="00D15242">
        <w:rPr>
          <w:rFonts w:ascii="Montserrat" w:hAnsi="Montserrat" w:cs="Calibri"/>
          <w:sz w:val="20"/>
          <w:szCs w:val="20"/>
        </w:rPr>
        <w:t xml:space="preserve">el </w:t>
      </w:r>
      <w:r w:rsidR="00D15242" w:rsidRPr="00BF1D44">
        <w:rPr>
          <w:rFonts w:ascii="Montserrat" w:hAnsi="Montserrat" w:cs="Calibri"/>
          <w:sz w:val="20"/>
          <w:szCs w:val="20"/>
        </w:rPr>
        <w:t xml:space="preserve">Programa </w:t>
      </w:r>
      <w:r w:rsidR="00D15242">
        <w:rPr>
          <w:rFonts w:ascii="Montserrat" w:hAnsi="Montserrat" w:cs="Calibri"/>
          <w:sz w:val="20"/>
          <w:szCs w:val="20"/>
        </w:rPr>
        <w:t xml:space="preserve">Atención a la Diversidad de la Educación Indígena (PADEI, </w:t>
      </w:r>
      <w:r w:rsidRPr="00BF1D44">
        <w:rPr>
          <w:rFonts w:ascii="Montserrat" w:hAnsi="Montserrat" w:cs="Calibri"/>
          <w:sz w:val="20"/>
          <w:szCs w:val="20"/>
        </w:rPr>
        <w:t>tenga presencia.</w:t>
      </w:r>
    </w:p>
    <w:p w:rsidR="00063324" w:rsidRPr="00BF1D44" w:rsidRDefault="00063324" w:rsidP="00063324">
      <w:pPr>
        <w:shd w:val="clear" w:color="auto" w:fill="FFFFFF"/>
        <w:spacing w:line="276" w:lineRule="auto"/>
        <w:jc w:val="both"/>
        <w:rPr>
          <w:rFonts w:ascii="Montserrat" w:hAnsi="Montserrat" w:cs="Calibri"/>
          <w:sz w:val="20"/>
          <w:szCs w:val="20"/>
        </w:rPr>
      </w:pPr>
    </w:p>
    <w:p w:rsidR="00063324" w:rsidRPr="00EA0C5A" w:rsidRDefault="00063324" w:rsidP="00063324">
      <w:pPr>
        <w:shd w:val="clear" w:color="auto" w:fill="FFFFFF"/>
        <w:spacing w:line="276" w:lineRule="auto"/>
        <w:jc w:val="both"/>
        <w:rPr>
          <w:rFonts w:ascii="Montserrat" w:hAnsi="Montserrat" w:cs="Calibri"/>
          <w:sz w:val="20"/>
          <w:szCs w:val="20"/>
        </w:rPr>
      </w:pPr>
      <w:r w:rsidRPr="00BF1D44">
        <w:rPr>
          <w:rFonts w:ascii="Montserrat" w:hAnsi="Montserrat" w:cs="Calibri"/>
          <w:sz w:val="20"/>
          <w:szCs w:val="20"/>
        </w:rPr>
        <w:t>Es importante que conforme al Presupuesto de Egresos de la Federación para el Ejercicio Fiscal 20</w:t>
      </w:r>
      <w:r w:rsidR="00BB14C5" w:rsidRPr="00BF1D44">
        <w:rPr>
          <w:rFonts w:ascii="Montserrat" w:hAnsi="Montserrat" w:cs="Calibri"/>
          <w:sz w:val="20"/>
          <w:szCs w:val="20"/>
        </w:rPr>
        <w:t>20</w:t>
      </w:r>
      <w:r w:rsidRPr="00BF1D44">
        <w:rPr>
          <w:rFonts w:ascii="Montserrat" w:hAnsi="Montserrat" w:cs="Calibri"/>
          <w:sz w:val="20"/>
          <w:szCs w:val="20"/>
        </w:rPr>
        <w:t xml:space="preserve"> se incluya la siguiente leyenda</w:t>
      </w:r>
      <w:r w:rsidRPr="00BF1D44">
        <w:rPr>
          <w:rFonts w:ascii="Montserrat" w:hAnsi="Montserrat" w:cs="Calibri"/>
          <w:color w:val="548DD4"/>
          <w:sz w:val="20"/>
          <w:szCs w:val="20"/>
        </w:rPr>
        <w:t xml:space="preserve"> (…)  </w:t>
      </w:r>
      <w:r w:rsidRPr="00BF1D44">
        <w:rPr>
          <w:rFonts w:ascii="Montserrat" w:hAnsi="Montserrat" w:cs="Calibri"/>
          <w:color w:val="FF0000"/>
          <w:sz w:val="20"/>
          <w:szCs w:val="20"/>
        </w:rPr>
        <w:t xml:space="preserve"> </w:t>
      </w:r>
      <w:r w:rsidRPr="00BF1D44">
        <w:rPr>
          <w:rFonts w:ascii="Montserrat" w:hAnsi="Montserrat" w:cs="Calibri"/>
          <w:sz w:val="20"/>
          <w:szCs w:val="20"/>
        </w:rPr>
        <w:t xml:space="preserve">“Este programa es público, ajeno a cualquier partido político. Queda prohibido el uso para fines distintos a los establecidos en el </w:t>
      </w:r>
      <w:r w:rsidRPr="00BF1D44">
        <w:rPr>
          <w:rFonts w:ascii="Montserrat" w:hAnsi="Montserrat" w:cs="Calibri"/>
          <w:sz w:val="20"/>
          <w:szCs w:val="20"/>
          <w:shd w:val="clear" w:color="auto" w:fill="FFFFFF"/>
        </w:rPr>
        <w:t>programa”</w:t>
      </w:r>
      <w:r w:rsidRPr="00BF1D44">
        <w:rPr>
          <w:rFonts w:ascii="Montserrat" w:hAnsi="Montserrat" w:cs="Calibri"/>
          <w:b/>
          <w:sz w:val="20"/>
          <w:szCs w:val="20"/>
          <w:shd w:val="clear" w:color="auto" w:fill="FFFFFF"/>
        </w:rPr>
        <w:t xml:space="preserve"> </w:t>
      </w:r>
      <w:r w:rsidRPr="00BF1D44">
        <w:rPr>
          <w:rFonts w:ascii="Montserrat" w:hAnsi="Montserrat" w:cs="Calibri"/>
          <w:sz w:val="20"/>
          <w:szCs w:val="20"/>
          <w:shd w:val="clear" w:color="auto" w:fill="FFFFFF"/>
        </w:rPr>
        <w:t>en cualquier material de difusión.</w:t>
      </w:r>
    </w:p>
    <w:p w:rsidR="00063324" w:rsidRDefault="00063324" w:rsidP="00063324">
      <w:pPr>
        <w:jc w:val="both"/>
        <w:rPr>
          <w:rFonts w:ascii="Montserrat" w:hAnsi="Montserrat"/>
          <w:sz w:val="20"/>
          <w:szCs w:val="20"/>
        </w:rPr>
      </w:pPr>
    </w:p>
    <w:p w:rsidR="00EA0C5A" w:rsidRDefault="00EA0C5A" w:rsidP="00063324">
      <w:pPr>
        <w:jc w:val="both"/>
        <w:rPr>
          <w:rFonts w:ascii="Montserrat" w:hAnsi="Montserrat"/>
          <w:sz w:val="20"/>
          <w:szCs w:val="20"/>
        </w:rPr>
      </w:pPr>
    </w:p>
    <w:p w:rsidR="00EA0C5A" w:rsidRDefault="00EA0C5A" w:rsidP="00063324">
      <w:pPr>
        <w:jc w:val="both"/>
        <w:rPr>
          <w:rFonts w:ascii="Montserrat" w:hAnsi="Montserrat"/>
          <w:sz w:val="20"/>
          <w:szCs w:val="20"/>
        </w:rPr>
      </w:pPr>
    </w:p>
    <w:p w:rsidR="00EA0C5A" w:rsidRPr="00EA0C5A" w:rsidRDefault="00EA0C5A" w:rsidP="00063324">
      <w:pPr>
        <w:jc w:val="both"/>
        <w:rPr>
          <w:rFonts w:ascii="Montserrat" w:hAnsi="Montserrat"/>
          <w:sz w:val="20"/>
          <w:szCs w:val="20"/>
        </w:rPr>
      </w:pPr>
    </w:p>
    <w:p w:rsidR="00063324" w:rsidRPr="00BF1D44" w:rsidRDefault="00063324" w:rsidP="004C6DC8">
      <w:pPr>
        <w:ind w:left="709"/>
        <w:jc w:val="both"/>
        <w:rPr>
          <w:rFonts w:ascii="Montserrat" w:hAnsi="Montserrat" w:cs="Calibri"/>
          <w:b/>
          <w:sz w:val="20"/>
          <w:szCs w:val="20"/>
          <w:lang w:val="es-MX"/>
        </w:rPr>
      </w:pPr>
      <w:r w:rsidRPr="00BF1D44">
        <w:rPr>
          <w:rFonts w:ascii="Montserrat" w:hAnsi="Montserrat" w:cs="Calibri"/>
          <w:b/>
          <w:smallCaps/>
          <w:kern w:val="24"/>
          <w:sz w:val="20"/>
          <w:szCs w:val="20"/>
        </w:rPr>
        <w:t>1</w:t>
      </w:r>
      <w:r w:rsidRPr="00BF1D44">
        <w:rPr>
          <w:rFonts w:ascii="Montserrat" w:hAnsi="Montserrat" w:cs="Calibri"/>
          <w:b/>
          <w:sz w:val="20"/>
          <w:szCs w:val="20"/>
          <w:lang w:val="es-MX"/>
        </w:rPr>
        <w:t>.2. De los medios de difusión del procedimiento para realizar la contraloría social.</w:t>
      </w:r>
    </w:p>
    <w:p w:rsidR="00063324" w:rsidRPr="00EA0C5A" w:rsidRDefault="00063324" w:rsidP="00063324">
      <w:pPr>
        <w:jc w:val="both"/>
        <w:rPr>
          <w:rFonts w:ascii="Montserrat" w:hAnsi="Montserrat" w:cs="Calibri"/>
          <w:sz w:val="20"/>
          <w:szCs w:val="20"/>
        </w:rPr>
      </w:pPr>
    </w:p>
    <w:p w:rsidR="00063324" w:rsidRPr="00BF1D44" w:rsidRDefault="00063324" w:rsidP="00063324">
      <w:pPr>
        <w:spacing w:line="276" w:lineRule="auto"/>
        <w:jc w:val="both"/>
        <w:rPr>
          <w:rFonts w:ascii="Montserrat" w:eastAsia="Times New Roman" w:hAnsi="Montserrat" w:cs="Calibri"/>
          <w:sz w:val="20"/>
          <w:szCs w:val="20"/>
          <w:lang w:eastAsia="es-MX"/>
        </w:rPr>
      </w:pP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Se brindará información, y en su caso, capacitación </w:t>
      </w:r>
      <w:r w:rsidR="00201768"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de Contraloría Social </w:t>
      </w: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a los Coordinadores Estatales </w:t>
      </w:r>
      <w:r w:rsidR="008E0973">
        <w:rPr>
          <w:rFonts w:ascii="Montserrat" w:eastAsia="Times New Roman" w:hAnsi="Montserrat" w:cs="Calibri"/>
          <w:sz w:val="20"/>
          <w:szCs w:val="20"/>
          <w:lang w:eastAsia="es-MX"/>
        </w:rPr>
        <w:t>del Programa Atención a la Diversidad de la Educación Indígena,</w:t>
      </w:r>
      <w:r w:rsidR="00A64F6B">
        <w:rPr>
          <w:rFonts w:ascii="Montserrat" w:eastAsia="Times New Roman" w:hAnsi="Montserrat" w:cs="Calibri"/>
          <w:sz w:val="20"/>
          <w:szCs w:val="20"/>
          <w:lang w:eastAsia="es-MX"/>
        </w:rPr>
        <w:t xml:space="preserve"> </w:t>
      </w:r>
      <w:r w:rsidR="008E0973" w:rsidRPr="008E0973">
        <w:rPr>
          <w:rFonts w:ascii="Montserrat" w:eastAsia="Times New Roman" w:hAnsi="Montserrat" w:cs="Calibri"/>
          <w:sz w:val="20"/>
          <w:szCs w:val="20"/>
          <w:lang w:eastAsia="es-MX"/>
        </w:rPr>
        <w:t>así c</w:t>
      </w:r>
      <w:r w:rsidR="00A64F6B" w:rsidRPr="008E0973">
        <w:rPr>
          <w:rFonts w:ascii="Montserrat" w:eastAsia="Times New Roman" w:hAnsi="Montserrat" w:cs="Calibri"/>
          <w:sz w:val="20"/>
          <w:szCs w:val="20"/>
          <w:lang w:eastAsia="es-MX"/>
        </w:rPr>
        <w:t>omo a los Enlaces Estatales de Contraloría Social</w:t>
      </w:r>
      <w:r w:rsidR="00A64F6B">
        <w:rPr>
          <w:rFonts w:ascii="Montserrat" w:eastAsia="Times New Roman" w:hAnsi="Montserrat" w:cs="Calibri"/>
          <w:sz w:val="20"/>
          <w:szCs w:val="20"/>
          <w:lang w:eastAsia="es-MX"/>
        </w:rPr>
        <w:t>,</w:t>
      </w: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 a través de reuniones, videoconferencias y envío de documentos e instructivos en formato electrónico, en </w:t>
      </w:r>
      <w:r w:rsidR="00201768" w:rsidRPr="00BF1D44">
        <w:rPr>
          <w:rFonts w:ascii="Montserrat" w:eastAsia="Times New Roman" w:hAnsi="Montserrat" w:cs="Calibri"/>
          <w:sz w:val="20"/>
          <w:szCs w:val="20"/>
          <w:lang w:eastAsia="es-MX"/>
        </w:rPr>
        <w:t>donde</w:t>
      </w: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 se informará sobre la estrategia para la </w:t>
      </w: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lastRenderedPageBreak/>
        <w:t>instrumentación de la Contraloría Social en las entidades federativas, así como los datos que se deben capturar en el Sistema Informático</w:t>
      </w:r>
      <w:r w:rsidRPr="00BF1D44">
        <w:rPr>
          <w:rFonts w:ascii="Montserrat" w:eastAsia="MS PMincho" w:hAnsi="Montserrat" w:cs="Calibri"/>
          <w:sz w:val="20"/>
          <w:szCs w:val="20"/>
        </w:rPr>
        <w:t xml:space="preserve"> </w:t>
      </w: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>de Contraloría Social (SICS) y las vías para enviar el reporte de las Acciones de Contraloría Social a la Dirección General de Educación Indígena</w:t>
      </w:r>
      <w:r w:rsidR="00EA0C5A">
        <w:rPr>
          <w:rFonts w:ascii="Montserrat" w:eastAsia="Times New Roman" w:hAnsi="Montserrat" w:cs="Calibri"/>
          <w:sz w:val="20"/>
          <w:szCs w:val="20"/>
          <w:lang w:eastAsia="es-MX"/>
        </w:rPr>
        <w:t>, Intercultural y Bilingüe</w:t>
      </w: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>.</w:t>
      </w:r>
    </w:p>
    <w:p w:rsidR="00063324" w:rsidRPr="00BF1D44" w:rsidRDefault="00063324" w:rsidP="00063324">
      <w:pPr>
        <w:spacing w:line="276" w:lineRule="auto"/>
        <w:jc w:val="both"/>
        <w:rPr>
          <w:rFonts w:ascii="Montserrat" w:eastAsia="Times New Roman" w:hAnsi="Montserrat" w:cs="Calibri"/>
          <w:sz w:val="20"/>
          <w:szCs w:val="20"/>
          <w:lang w:eastAsia="es-MX"/>
        </w:rPr>
      </w:pPr>
    </w:p>
    <w:p w:rsidR="00063324" w:rsidRPr="00BF1D44" w:rsidRDefault="00063324" w:rsidP="004C6DC8">
      <w:pPr>
        <w:tabs>
          <w:tab w:val="left" w:pos="6096"/>
        </w:tabs>
        <w:spacing w:line="276" w:lineRule="auto"/>
        <w:jc w:val="both"/>
        <w:rPr>
          <w:rFonts w:ascii="Montserrat" w:eastAsia="Times New Roman" w:hAnsi="Montserrat" w:cs="Calibri"/>
          <w:sz w:val="20"/>
          <w:szCs w:val="20"/>
          <w:lang w:eastAsia="es-MX"/>
        </w:rPr>
      </w:pP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>Con objeto de difundir información oportuna en materia de contraloría social, la Dirección General de Educación Indígena</w:t>
      </w:r>
      <w:r w:rsidR="00EA0C5A">
        <w:rPr>
          <w:rFonts w:ascii="Montserrat" w:eastAsia="Times New Roman" w:hAnsi="Montserrat" w:cs="Calibri"/>
          <w:sz w:val="20"/>
          <w:szCs w:val="20"/>
          <w:lang w:eastAsia="es-MX"/>
        </w:rPr>
        <w:t>, Intercultural y Bilingüe</w:t>
      </w: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 (</w:t>
      </w:r>
      <w:proofErr w:type="spellStart"/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>DGEI</w:t>
      </w:r>
      <w:r w:rsidR="00EA0C5A">
        <w:rPr>
          <w:rFonts w:ascii="Montserrat" w:eastAsia="Times New Roman" w:hAnsi="Montserrat" w:cs="Calibri"/>
          <w:sz w:val="20"/>
          <w:szCs w:val="20"/>
          <w:lang w:eastAsia="es-MX"/>
        </w:rPr>
        <w:t>IyB</w:t>
      </w:r>
      <w:proofErr w:type="spellEnd"/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>)</w:t>
      </w:r>
      <w:r w:rsidR="00EA0C5A">
        <w:rPr>
          <w:rFonts w:ascii="Montserrat" w:eastAsia="Times New Roman" w:hAnsi="Montserrat" w:cs="Calibri"/>
          <w:sz w:val="20"/>
          <w:szCs w:val="20"/>
          <w:lang w:eastAsia="es-MX"/>
        </w:rPr>
        <w:t>,</w:t>
      </w: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 a través de la </w:t>
      </w:r>
      <w:r w:rsidR="00201768" w:rsidRPr="00BF1D44">
        <w:rPr>
          <w:rFonts w:ascii="Montserrat" w:eastAsia="Times New Roman" w:hAnsi="Montserrat" w:cs="Calibri"/>
          <w:sz w:val="20"/>
          <w:szCs w:val="20"/>
          <w:lang w:eastAsia="es-MX"/>
        </w:rPr>
        <w:t>Dirección para la Formación y Desarrollo Profesional de Docentes de Educación Indígena</w:t>
      </w: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, será la encargada de diseñar un folleto informativo y un cartel de Contraloría Social </w:t>
      </w:r>
      <w:r w:rsidR="00686BFF">
        <w:rPr>
          <w:rFonts w:ascii="Montserrat" w:eastAsia="Times New Roman" w:hAnsi="Montserrat" w:cs="Calibri"/>
          <w:sz w:val="20"/>
          <w:szCs w:val="20"/>
          <w:lang w:eastAsia="es-MX"/>
        </w:rPr>
        <w:t xml:space="preserve">del </w:t>
      </w:r>
      <w:r w:rsidR="00D15242" w:rsidRPr="00BF1D44">
        <w:rPr>
          <w:rFonts w:ascii="Montserrat" w:hAnsi="Montserrat" w:cs="Calibri"/>
          <w:sz w:val="20"/>
          <w:szCs w:val="20"/>
        </w:rPr>
        <w:t xml:space="preserve">Programa </w:t>
      </w:r>
      <w:r w:rsidR="00D15242">
        <w:rPr>
          <w:rFonts w:ascii="Montserrat" w:hAnsi="Montserrat" w:cs="Calibri"/>
          <w:sz w:val="20"/>
          <w:szCs w:val="20"/>
        </w:rPr>
        <w:t>Atención a la Diversidad de la Educación Indígena (PADEI)</w:t>
      </w:r>
      <w:r w:rsidRPr="00BF1D44">
        <w:rPr>
          <w:rFonts w:ascii="Montserrat" w:hAnsi="Montserrat" w:cs="Calibri"/>
          <w:sz w:val="20"/>
          <w:szCs w:val="20"/>
        </w:rPr>
        <w:t xml:space="preserve"> y capturados en el apartado correspondiente del Sistema Informático de Contraloría Social (SICS)</w:t>
      </w: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 para su reproducción, con objeto de que sean utilizados en la sesión de capacitación a las/los integrantes del Comité de Contraloría Social.</w:t>
      </w:r>
    </w:p>
    <w:p w:rsidR="00063324" w:rsidRPr="00BF1D44" w:rsidRDefault="00063324" w:rsidP="00063324">
      <w:pPr>
        <w:spacing w:line="276" w:lineRule="auto"/>
        <w:jc w:val="both"/>
        <w:rPr>
          <w:rFonts w:ascii="Montserrat" w:eastAsia="Times New Roman" w:hAnsi="Montserrat" w:cs="Calibri"/>
          <w:sz w:val="20"/>
          <w:szCs w:val="20"/>
          <w:lang w:eastAsia="es-MX"/>
        </w:rPr>
      </w:pPr>
    </w:p>
    <w:p w:rsidR="00063324" w:rsidRPr="00BF1D44" w:rsidRDefault="00063324" w:rsidP="004C6DC8">
      <w:pPr>
        <w:widowControl w:val="0"/>
        <w:numPr>
          <w:ilvl w:val="0"/>
          <w:numId w:val="26"/>
        </w:numPr>
        <w:tabs>
          <w:tab w:val="left" w:pos="426"/>
        </w:tabs>
        <w:suppressAutoHyphens/>
        <w:ind w:hanging="720"/>
        <w:jc w:val="both"/>
        <w:rPr>
          <w:rFonts w:ascii="Montserrat" w:hAnsi="Montserrat" w:cs="Calibri"/>
          <w:b/>
          <w:smallCaps/>
          <w:kern w:val="22"/>
          <w:sz w:val="20"/>
          <w:szCs w:val="20"/>
        </w:rPr>
      </w:pPr>
      <w:r w:rsidRPr="00BF1D44">
        <w:rPr>
          <w:rFonts w:ascii="Montserrat" w:hAnsi="Montserrat" w:cs="Calibri"/>
          <w:b/>
          <w:smallCaps/>
          <w:kern w:val="22"/>
          <w:sz w:val="20"/>
          <w:szCs w:val="20"/>
        </w:rPr>
        <w:t>CAPACITACIÓN Y ASESORÍA</w:t>
      </w:r>
    </w:p>
    <w:p w:rsidR="00063324" w:rsidRPr="00BF1D44" w:rsidRDefault="00063324" w:rsidP="00063324">
      <w:pPr>
        <w:ind w:left="720"/>
        <w:jc w:val="both"/>
        <w:rPr>
          <w:rFonts w:ascii="Montserrat" w:hAnsi="Montserrat" w:cs="Calibri"/>
          <w:b/>
          <w:smallCaps/>
          <w:kern w:val="22"/>
          <w:sz w:val="20"/>
          <w:szCs w:val="20"/>
        </w:rPr>
      </w:pPr>
    </w:p>
    <w:p w:rsidR="00063324" w:rsidRPr="00BF1D44" w:rsidRDefault="00063324" w:rsidP="00BF1D44">
      <w:pPr>
        <w:spacing w:line="276" w:lineRule="auto"/>
        <w:jc w:val="both"/>
        <w:rPr>
          <w:rFonts w:ascii="Montserrat" w:eastAsia="Times New Roman" w:hAnsi="Montserrat" w:cs="Calibri"/>
          <w:sz w:val="20"/>
          <w:szCs w:val="20"/>
          <w:lang w:eastAsia="es-MX"/>
        </w:rPr>
      </w:pPr>
      <w:r w:rsidRPr="00BF1D44">
        <w:rPr>
          <w:rFonts w:ascii="Montserrat" w:eastAsia="Times New Roman" w:hAnsi="Montserrat" w:cs="Calibri"/>
          <w:sz w:val="20"/>
          <w:szCs w:val="20"/>
          <w:lang w:val="es-MX" w:eastAsia="es-MX"/>
        </w:rPr>
        <w:t xml:space="preserve">La </w:t>
      </w:r>
      <w:proofErr w:type="spellStart"/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>DGEI</w:t>
      </w:r>
      <w:r w:rsidR="00EA0C5A">
        <w:rPr>
          <w:rFonts w:ascii="Montserrat" w:eastAsia="Times New Roman" w:hAnsi="Montserrat" w:cs="Calibri"/>
          <w:sz w:val="20"/>
          <w:szCs w:val="20"/>
          <w:lang w:eastAsia="es-MX"/>
        </w:rPr>
        <w:t>IyB</w:t>
      </w:r>
      <w:proofErr w:type="spellEnd"/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 capacita a el/la Coordinador/a Estatal </w:t>
      </w:r>
      <w:r w:rsidR="00686BFF">
        <w:rPr>
          <w:rFonts w:ascii="Montserrat" w:eastAsia="Times New Roman" w:hAnsi="Montserrat" w:cs="Calibri"/>
          <w:sz w:val="20"/>
          <w:szCs w:val="20"/>
          <w:lang w:eastAsia="es-MX"/>
        </w:rPr>
        <w:t xml:space="preserve">del </w:t>
      </w:r>
      <w:r w:rsidR="00686BFF" w:rsidRPr="00BF1D44">
        <w:rPr>
          <w:rFonts w:ascii="Montserrat" w:hAnsi="Montserrat" w:cs="Calibri"/>
          <w:sz w:val="20"/>
          <w:szCs w:val="20"/>
        </w:rPr>
        <w:t xml:space="preserve">Programa </w:t>
      </w:r>
      <w:r w:rsidR="00686BFF">
        <w:rPr>
          <w:rFonts w:ascii="Montserrat" w:hAnsi="Montserrat" w:cs="Calibri"/>
          <w:sz w:val="20"/>
          <w:szCs w:val="20"/>
        </w:rPr>
        <w:t>Atención a la Diversidad de la Educación Indígena (PADEI)</w:t>
      </w:r>
      <w:r w:rsidRPr="00BF1D44">
        <w:rPr>
          <w:rFonts w:ascii="Montserrat" w:hAnsi="Montserrat" w:cs="Calibri"/>
          <w:sz w:val="20"/>
          <w:szCs w:val="20"/>
        </w:rPr>
        <w:t xml:space="preserve"> </w:t>
      </w: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y al Enlace Estatal de Contraloría Social, en la instrumentación de la Contraloría Social mediante la presentación del Esquema, Guía Operativa y Programa Anual de Trabajo de Contraloría Social (PATCS). </w:t>
      </w:r>
    </w:p>
    <w:p w:rsidR="00063324" w:rsidRPr="00BF1D44" w:rsidRDefault="00063324" w:rsidP="00BF1D44">
      <w:pPr>
        <w:spacing w:line="276" w:lineRule="auto"/>
        <w:jc w:val="both"/>
        <w:rPr>
          <w:rFonts w:ascii="Montserrat" w:eastAsia="Times New Roman" w:hAnsi="Montserrat" w:cs="Calibri"/>
          <w:sz w:val="20"/>
          <w:szCs w:val="20"/>
          <w:lang w:eastAsia="es-MX"/>
        </w:rPr>
      </w:pPr>
    </w:p>
    <w:p w:rsidR="00063324" w:rsidRPr="00BF1D44" w:rsidRDefault="00063324" w:rsidP="00BF1D44">
      <w:pPr>
        <w:spacing w:line="276" w:lineRule="auto"/>
        <w:jc w:val="both"/>
        <w:rPr>
          <w:rFonts w:ascii="Montserrat" w:eastAsia="Times New Roman" w:hAnsi="Montserrat" w:cs="Calibri"/>
          <w:sz w:val="20"/>
          <w:szCs w:val="20"/>
          <w:lang w:eastAsia="es-MX"/>
        </w:rPr>
      </w:pP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El/La Coordinador/a Estatal </w:t>
      </w:r>
      <w:r w:rsidR="00686BFF">
        <w:rPr>
          <w:rFonts w:ascii="Montserrat" w:eastAsia="Times New Roman" w:hAnsi="Montserrat" w:cs="Calibri"/>
          <w:sz w:val="20"/>
          <w:szCs w:val="20"/>
          <w:lang w:eastAsia="es-MX"/>
        </w:rPr>
        <w:t xml:space="preserve">del </w:t>
      </w:r>
      <w:r w:rsidR="00686BFF" w:rsidRPr="00BF1D44">
        <w:rPr>
          <w:rFonts w:ascii="Montserrat" w:hAnsi="Montserrat" w:cs="Calibri"/>
          <w:sz w:val="20"/>
          <w:szCs w:val="20"/>
        </w:rPr>
        <w:t xml:space="preserve">Programa </w:t>
      </w:r>
      <w:r w:rsidR="00686BFF">
        <w:rPr>
          <w:rFonts w:ascii="Montserrat" w:hAnsi="Montserrat" w:cs="Calibri"/>
          <w:sz w:val="20"/>
          <w:szCs w:val="20"/>
        </w:rPr>
        <w:t>Atención a la Diversidad de la Educación Indígena (PADEI)</w:t>
      </w: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 replica</w:t>
      </w:r>
      <w:r w:rsidR="00201768" w:rsidRPr="00BF1D44">
        <w:rPr>
          <w:rFonts w:ascii="Montserrat" w:eastAsia="Times New Roman" w:hAnsi="Montserrat" w:cs="Calibri"/>
          <w:sz w:val="20"/>
          <w:szCs w:val="20"/>
          <w:lang w:eastAsia="es-MX"/>
        </w:rPr>
        <w:t>rá</w:t>
      </w: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 esta información a su equipo de trabajo en el estado. </w:t>
      </w:r>
    </w:p>
    <w:p w:rsidR="00063324" w:rsidRPr="00BF1D44" w:rsidRDefault="00063324" w:rsidP="00063324">
      <w:pPr>
        <w:spacing w:line="276" w:lineRule="auto"/>
        <w:jc w:val="both"/>
        <w:rPr>
          <w:rFonts w:ascii="Montserrat" w:eastAsia="Times New Roman" w:hAnsi="Montserrat" w:cs="Calibri"/>
          <w:b/>
          <w:sz w:val="20"/>
          <w:szCs w:val="20"/>
          <w:lang w:eastAsia="es-MX"/>
        </w:rPr>
      </w:pPr>
    </w:p>
    <w:p w:rsidR="00063324" w:rsidRPr="00BF1D44" w:rsidRDefault="00063324" w:rsidP="00BF1D44">
      <w:pPr>
        <w:spacing w:line="276" w:lineRule="auto"/>
        <w:jc w:val="both"/>
        <w:rPr>
          <w:rFonts w:ascii="Montserrat" w:eastAsia="Times New Roman" w:hAnsi="Montserrat" w:cs="Calibri"/>
          <w:sz w:val="20"/>
          <w:szCs w:val="20"/>
          <w:lang w:eastAsia="es-MX"/>
        </w:rPr>
      </w:pP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>El Enlace Estatal de Contraloría Social, será el encargado de:</w:t>
      </w:r>
    </w:p>
    <w:p w:rsidR="00063324" w:rsidRPr="00BF1D44" w:rsidRDefault="00063324" w:rsidP="00BF1D44">
      <w:pPr>
        <w:widowControl w:val="0"/>
        <w:numPr>
          <w:ilvl w:val="0"/>
          <w:numId w:val="27"/>
        </w:numPr>
        <w:suppressAutoHyphens/>
        <w:spacing w:line="276" w:lineRule="auto"/>
        <w:jc w:val="both"/>
        <w:rPr>
          <w:rFonts w:ascii="Montserrat" w:eastAsia="Times New Roman" w:hAnsi="Montserrat" w:cs="Calibri"/>
          <w:sz w:val="20"/>
          <w:szCs w:val="20"/>
          <w:lang w:eastAsia="es-MX"/>
        </w:rPr>
      </w:pP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>Elaborar el Programa Estatal de Trabajo de Contraloría Social (PETCS).</w:t>
      </w:r>
    </w:p>
    <w:p w:rsidR="00063324" w:rsidRPr="00BF1D44" w:rsidRDefault="00063324" w:rsidP="00BF1D44">
      <w:pPr>
        <w:widowControl w:val="0"/>
        <w:numPr>
          <w:ilvl w:val="0"/>
          <w:numId w:val="27"/>
        </w:numPr>
        <w:suppressAutoHyphens/>
        <w:spacing w:line="276" w:lineRule="auto"/>
        <w:jc w:val="both"/>
        <w:rPr>
          <w:rFonts w:ascii="Montserrat" w:eastAsia="Times New Roman" w:hAnsi="Montserrat" w:cs="Calibri"/>
          <w:sz w:val="20"/>
          <w:szCs w:val="20"/>
          <w:lang w:eastAsia="es-MX"/>
        </w:rPr>
      </w:pP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Organizar y constituir el </w:t>
      </w:r>
      <w:r w:rsidR="00201768" w:rsidRPr="00BF1D44">
        <w:rPr>
          <w:rFonts w:ascii="Montserrat" w:eastAsia="Times New Roman" w:hAnsi="Montserrat" w:cs="Calibri"/>
          <w:sz w:val="20"/>
          <w:szCs w:val="20"/>
          <w:lang w:eastAsia="es-MX"/>
        </w:rPr>
        <w:t>(los</w:t>
      </w:r>
      <w:proofErr w:type="gramStart"/>
      <w:r w:rsidR="00201768" w:rsidRPr="00BF1D44">
        <w:rPr>
          <w:rFonts w:ascii="Montserrat" w:eastAsia="Times New Roman" w:hAnsi="Montserrat" w:cs="Calibri"/>
          <w:sz w:val="20"/>
          <w:szCs w:val="20"/>
          <w:lang w:eastAsia="es-MX"/>
        </w:rPr>
        <w:t>)</w:t>
      </w: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>Comité</w:t>
      </w:r>
      <w:proofErr w:type="gramEnd"/>
      <w:r w:rsidR="00201768" w:rsidRPr="00BF1D44">
        <w:rPr>
          <w:rFonts w:ascii="Montserrat" w:eastAsia="Times New Roman" w:hAnsi="Montserrat" w:cs="Calibri"/>
          <w:sz w:val="20"/>
          <w:szCs w:val="20"/>
          <w:lang w:eastAsia="es-MX"/>
        </w:rPr>
        <w:t>(s)</w:t>
      </w: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 de Contraloría Social.</w:t>
      </w:r>
    </w:p>
    <w:p w:rsidR="00063324" w:rsidRPr="00BF1D44" w:rsidRDefault="00063324" w:rsidP="00BF1D44">
      <w:pPr>
        <w:widowControl w:val="0"/>
        <w:numPr>
          <w:ilvl w:val="0"/>
          <w:numId w:val="27"/>
        </w:numPr>
        <w:suppressAutoHyphens/>
        <w:spacing w:line="276" w:lineRule="auto"/>
        <w:jc w:val="both"/>
        <w:rPr>
          <w:rFonts w:ascii="Montserrat" w:eastAsia="Times New Roman" w:hAnsi="Montserrat" w:cs="Calibri"/>
          <w:sz w:val="20"/>
          <w:szCs w:val="20"/>
          <w:lang w:eastAsia="es-MX"/>
        </w:rPr>
      </w:pP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Capacitar y asesorar a integrantes del </w:t>
      </w:r>
      <w:r w:rsidR="00201768" w:rsidRPr="00BF1D44">
        <w:rPr>
          <w:rFonts w:ascii="Montserrat" w:eastAsia="Times New Roman" w:hAnsi="Montserrat" w:cs="Calibri"/>
          <w:sz w:val="20"/>
          <w:szCs w:val="20"/>
          <w:lang w:eastAsia="es-MX"/>
        </w:rPr>
        <w:t>(lo</w:t>
      </w:r>
      <w:bookmarkStart w:id="0" w:name="_GoBack"/>
      <w:bookmarkEnd w:id="0"/>
      <w:r w:rsidR="00201768"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s) </w:t>
      </w: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>Comité</w:t>
      </w:r>
      <w:r w:rsidR="00201768" w:rsidRPr="00BF1D44">
        <w:rPr>
          <w:rFonts w:ascii="Montserrat" w:eastAsia="Times New Roman" w:hAnsi="Montserrat" w:cs="Calibri"/>
          <w:sz w:val="20"/>
          <w:szCs w:val="20"/>
          <w:lang w:eastAsia="es-MX"/>
        </w:rPr>
        <w:t>(s)</w:t>
      </w: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 de Contraloría Social.</w:t>
      </w:r>
    </w:p>
    <w:p w:rsidR="00063324" w:rsidRPr="00BF1D44" w:rsidRDefault="00063324" w:rsidP="00BF1D44">
      <w:pPr>
        <w:widowControl w:val="0"/>
        <w:numPr>
          <w:ilvl w:val="0"/>
          <w:numId w:val="27"/>
        </w:numPr>
        <w:suppressAutoHyphens/>
        <w:spacing w:line="276" w:lineRule="auto"/>
        <w:jc w:val="both"/>
        <w:rPr>
          <w:rFonts w:ascii="Montserrat" w:eastAsia="Times New Roman" w:hAnsi="Montserrat" w:cs="Calibri"/>
          <w:sz w:val="20"/>
          <w:szCs w:val="20"/>
          <w:lang w:eastAsia="es-MX"/>
        </w:rPr>
      </w:pP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>Entregar y recopilar los “informes del Comité de Contraloría Social”, en la última reunión de seguimiento y/o capacitación.</w:t>
      </w:r>
    </w:p>
    <w:p w:rsidR="004411B9" w:rsidRPr="00BF1D44" w:rsidRDefault="004411B9" w:rsidP="00063324">
      <w:pPr>
        <w:jc w:val="both"/>
        <w:rPr>
          <w:rFonts w:ascii="Montserrat" w:eastAsia="Times New Roman" w:hAnsi="Montserrat" w:cs="Calibri"/>
          <w:sz w:val="20"/>
          <w:szCs w:val="20"/>
          <w:lang w:eastAsia="es-MX"/>
        </w:rPr>
      </w:pPr>
    </w:p>
    <w:p w:rsidR="00063324" w:rsidRPr="00BF1D44" w:rsidRDefault="00063324" w:rsidP="004C6DC8">
      <w:pPr>
        <w:pStyle w:val="Prrafodelista"/>
        <w:widowControl w:val="0"/>
        <w:numPr>
          <w:ilvl w:val="0"/>
          <w:numId w:val="26"/>
        </w:numPr>
        <w:suppressAutoHyphens/>
        <w:ind w:left="426" w:hanging="426"/>
        <w:jc w:val="both"/>
        <w:rPr>
          <w:rFonts w:ascii="Montserrat" w:hAnsi="Montserrat" w:cs="Calibri"/>
          <w:b/>
          <w:smallCaps/>
          <w:kern w:val="22"/>
          <w:sz w:val="20"/>
          <w:szCs w:val="20"/>
        </w:rPr>
      </w:pPr>
      <w:r w:rsidRPr="00BF1D44">
        <w:rPr>
          <w:rFonts w:ascii="Montserrat" w:hAnsi="Montserrat" w:cs="Calibri"/>
          <w:b/>
          <w:smallCaps/>
          <w:kern w:val="22"/>
          <w:sz w:val="20"/>
          <w:szCs w:val="20"/>
        </w:rPr>
        <w:t>SEGUIMIENTO</w:t>
      </w:r>
    </w:p>
    <w:p w:rsidR="00063324" w:rsidRPr="00BF1D44" w:rsidRDefault="00063324" w:rsidP="00063324">
      <w:pPr>
        <w:jc w:val="both"/>
        <w:rPr>
          <w:rFonts w:ascii="Montserrat" w:hAnsi="Montserrat" w:cs="Calibri"/>
          <w:b/>
          <w:smallCaps/>
          <w:kern w:val="22"/>
          <w:sz w:val="20"/>
          <w:szCs w:val="20"/>
        </w:rPr>
      </w:pPr>
    </w:p>
    <w:p w:rsidR="00063324" w:rsidRPr="00B001C1" w:rsidRDefault="00063324" w:rsidP="00BF1D44">
      <w:pPr>
        <w:spacing w:line="276" w:lineRule="auto"/>
        <w:jc w:val="both"/>
        <w:rPr>
          <w:rFonts w:ascii="Calibri" w:eastAsia="Times New Roman" w:hAnsi="Calibri" w:cs="Calibri"/>
          <w:lang w:eastAsia="es-MX"/>
        </w:rPr>
      </w:pP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La </w:t>
      </w:r>
      <w:proofErr w:type="spellStart"/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>DGEI</w:t>
      </w:r>
      <w:r w:rsidR="00EA0C5A">
        <w:rPr>
          <w:rFonts w:ascii="Montserrat" w:eastAsia="Times New Roman" w:hAnsi="Montserrat" w:cs="Calibri"/>
          <w:sz w:val="20"/>
          <w:szCs w:val="20"/>
          <w:lang w:eastAsia="es-MX"/>
        </w:rPr>
        <w:t>IyB</w:t>
      </w:r>
      <w:proofErr w:type="spellEnd"/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 a través de la</w:t>
      </w:r>
      <w:r w:rsidR="00201768"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 Dirección para la Formación y Desarrollo Profesional de Docentes de Educación Indígena,</w:t>
      </w: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 dará seguimiento al cumplimiento de las acciones contenidas en el “Programa Estatal de Trabajo de Contraloría Social” elaborado por cada entidad federativa, así como a la captura de datos en el Sistema Informático de Contraloría Social (SICS), o el envío de la información a la </w:t>
      </w:r>
      <w:r w:rsidR="00201768"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Dirección para la Formación y Desarrollo Profesional de Docentes de Educación Indígena </w:t>
      </w:r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 xml:space="preserve">de la </w:t>
      </w:r>
      <w:proofErr w:type="spellStart"/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>DGEI</w:t>
      </w:r>
      <w:r w:rsidR="00AF49C2">
        <w:rPr>
          <w:rFonts w:ascii="Montserrat" w:eastAsia="Times New Roman" w:hAnsi="Montserrat" w:cs="Calibri"/>
          <w:sz w:val="20"/>
          <w:szCs w:val="20"/>
          <w:lang w:eastAsia="es-MX"/>
        </w:rPr>
        <w:t>IyB</w:t>
      </w:r>
      <w:proofErr w:type="spellEnd"/>
      <w:r w:rsidRPr="00BF1D44">
        <w:rPr>
          <w:rFonts w:ascii="Montserrat" w:eastAsia="Times New Roman" w:hAnsi="Montserrat" w:cs="Calibri"/>
          <w:sz w:val="20"/>
          <w:szCs w:val="20"/>
          <w:lang w:eastAsia="es-MX"/>
        </w:rPr>
        <w:t>, de acuerdo a la periodicidad establecida en la Guía Operativa</w:t>
      </w:r>
      <w:r w:rsidRPr="00B001C1">
        <w:rPr>
          <w:rFonts w:ascii="Calibri" w:eastAsia="Times New Roman" w:hAnsi="Calibri" w:cs="Calibri"/>
          <w:lang w:eastAsia="es-MX"/>
        </w:rPr>
        <w:t>.</w:t>
      </w:r>
    </w:p>
    <w:p w:rsidR="00063324" w:rsidRPr="00B001C1" w:rsidRDefault="00063324" w:rsidP="00BF1D44">
      <w:pPr>
        <w:spacing w:line="276" w:lineRule="auto"/>
        <w:jc w:val="both"/>
        <w:rPr>
          <w:rFonts w:ascii="Calibri" w:hAnsi="Calibri" w:cs="Calibri"/>
          <w:b/>
        </w:rPr>
      </w:pPr>
    </w:p>
    <w:p w:rsidR="00063324" w:rsidRPr="00BF1D44" w:rsidRDefault="004C6DC8" w:rsidP="00002693">
      <w:pPr>
        <w:widowControl w:val="0"/>
        <w:numPr>
          <w:ilvl w:val="1"/>
          <w:numId w:val="26"/>
        </w:numPr>
        <w:suppressAutoHyphens/>
        <w:ind w:left="1418" w:hanging="709"/>
        <w:jc w:val="both"/>
        <w:rPr>
          <w:rFonts w:ascii="Montserrat" w:hAnsi="Montserrat" w:cs="Calibri"/>
          <w:b/>
          <w:kern w:val="22"/>
          <w:sz w:val="20"/>
          <w:szCs w:val="20"/>
        </w:rPr>
      </w:pPr>
      <w:r w:rsidRPr="00BF1D44">
        <w:rPr>
          <w:rFonts w:ascii="Montserrat" w:hAnsi="Montserrat" w:cs="Calibri"/>
          <w:b/>
          <w:kern w:val="22"/>
          <w:sz w:val="20"/>
          <w:szCs w:val="20"/>
        </w:rPr>
        <w:lastRenderedPageBreak/>
        <w:t>Mecanismos de seguimiento</w:t>
      </w:r>
    </w:p>
    <w:p w:rsidR="00063324" w:rsidRPr="00BF1D44" w:rsidRDefault="00063324" w:rsidP="00063324">
      <w:pPr>
        <w:jc w:val="both"/>
        <w:rPr>
          <w:rFonts w:ascii="Montserrat" w:hAnsi="Montserrat" w:cs="Calibri"/>
          <w:b/>
          <w:smallCaps/>
          <w:kern w:val="22"/>
          <w:sz w:val="20"/>
          <w:szCs w:val="20"/>
        </w:rPr>
      </w:pPr>
    </w:p>
    <w:p w:rsidR="00063324" w:rsidRPr="00BF1D44" w:rsidRDefault="00063324" w:rsidP="00BF1D44">
      <w:pPr>
        <w:spacing w:line="276" w:lineRule="auto"/>
        <w:jc w:val="both"/>
        <w:rPr>
          <w:rFonts w:ascii="Montserrat" w:hAnsi="Montserrat" w:cs="Calibri"/>
          <w:sz w:val="20"/>
          <w:szCs w:val="20"/>
        </w:rPr>
      </w:pPr>
      <w:r w:rsidRPr="00BF1D44">
        <w:rPr>
          <w:rFonts w:ascii="Montserrat" w:hAnsi="Montserrat" w:cs="Calibri"/>
          <w:sz w:val="20"/>
          <w:szCs w:val="20"/>
        </w:rPr>
        <w:t>El principal mecanismo de seguimiento lo constituye el Sistema Informático de Contraloría Social (SICS) administrado por la Secretaría de la Función Pública, ya que es a través de él que se realizará el seguimiento de las actividades de planeación, promoción y operación de la contraloría Social en cada una de las Instancias Ejecutoras a través de la captura y seguimiento de su Programa Estatal de Trabajo de Contraloría Social.</w:t>
      </w:r>
    </w:p>
    <w:p w:rsidR="00063324" w:rsidRPr="00BF1D44" w:rsidRDefault="00063324" w:rsidP="00063324">
      <w:pPr>
        <w:jc w:val="both"/>
        <w:rPr>
          <w:rFonts w:ascii="Montserrat" w:hAnsi="Montserrat" w:cs="Calibri"/>
          <w:sz w:val="20"/>
          <w:szCs w:val="20"/>
        </w:rPr>
      </w:pPr>
    </w:p>
    <w:p w:rsidR="00063324" w:rsidRPr="00BF1D44" w:rsidRDefault="00063324" w:rsidP="00063324">
      <w:pPr>
        <w:jc w:val="both"/>
        <w:rPr>
          <w:rFonts w:ascii="Montserrat" w:hAnsi="Montserrat" w:cs="Calibri"/>
          <w:sz w:val="20"/>
          <w:szCs w:val="20"/>
        </w:rPr>
      </w:pPr>
      <w:r w:rsidRPr="00BF1D44">
        <w:rPr>
          <w:rFonts w:ascii="Montserrat" w:hAnsi="Montserrat" w:cs="Calibri"/>
          <w:sz w:val="20"/>
          <w:szCs w:val="20"/>
        </w:rPr>
        <w:t>Se solicitará que cada ejecutora realice un seguimiento puntual de las quejas y denuncias recibidas, así como la atención de cada una de ellas, en apego a lo establecido en la Guía Operativa.</w:t>
      </w:r>
    </w:p>
    <w:p w:rsidR="00063324" w:rsidRPr="00BF1D44" w:rsidRDefault="00063324" w:rsidP="00063324">
      <w:pPr>
        <w:jc w:val="both"/>
        <w:rPr>
          <w:rFonts w:ascii="Montserrat" w:hAnsi="Montserrat" w:cs="Calibri"/>
          <w:sz w:val="20"/>
          <w:szCs w:val="20"/>
        </w:rPr>
      </w:pPr>
    </w:p>
    <w:p w:rsidR="00063324" w:rsidRPr="00BF1D44" w:rsidRDefault="00063324" w:rsidP="00063324">
      <w:pPr>
        <w:jc w:val="both"/>
        <w:rPr>
          <w:rFonts w:ascii="Montserrat" w:hAnsi="Montserrat" w:cs="Calibri"/>
          <w:b/>
          <w:sz w:val="20"/>
          <w:szCs w:val="20"/>
        </w:rPr>
      </w:pPr>
      <w:r w:rsidRPr="00BF1D44">
        <w:rPr>
          <w:rFonts w:ascii="Montserrat" w:hAnsi="Montserrat" w:cs="Calibri"/>
          <w:sz w:val="20"/>
          <w:szCs w:val="20"/>
        </w:rPr>
        <w:t>A través del informe de contraloría social, será posible verificar el cumplimiento de los objetivos de la contraloría social, la participación de las beneficiarias y la correcta aplicación de los recursos</w:t>
      </w:r>
      <w:r w:rsidRPr="00BF1D44">
        <w:rPr>
          <w:rFonts w:ascii="Montserrat" w:hAnsi="Montserrat" w:cs="Calibri"/>
          <w:b/>
          <w:sz w:val="20"/>
          <w:szCs w:val="20"/>
        </w:rPr>
        <w:t>.</w:t>
      </w:r>
    </w:p>
    <w:p w:rsidR="00063324" w:rsidRDefault="00063324" w:rsidP="00063324">
      <w:pPr>
        <w:jc w:val="both"/>
        <w:rPr>
          <w:rFonts w:ascii="Montserrat" w:hAnsi="Montserrat" w:cs="Calibri"/>
          <w:b/>
          <w:sz w:val="20"/>
          <w:szCs w:val="20"/>
        </w:rPr>
      </w:pPr>
    </w:p>
    <w:p w:rsidR="00BF1D44" w:rsidRPr="00BF1D44" w:rsidRDefault="00BF1D44" w:rsidP="00063324">
      <w:pPr>
        <w:jc w:val="both"/>
        <w:rPr>
          <w:rFonts w:ascii="Montserrat" w:hAnsi="Montserrat" w:cs="Calibri"/>
          <w:b/>
          <w:sz w:val="20"/>
          <w:szCs w:val="20"/>
        </w:rPr>
      </w:pPr>
    </w:p>
    <w:p w:rsidR="00063324" w:rsidRPr="00BF1D44" w:rsidRDefault="004C6DC8" w:rsidP="00002693">
      <w:pPr>
        <w:widowControl w:val="0"/>
        <w:numPr>
          <w:ilvl w:val="1"/>
          <w:numId w:val="26"/>
        </w:numPr>
        <w:suppressAutoHyphens/>
        <w:spacing w:line="276" w:lineRule="auto"/>
        <w:ind w:left="709" w:firstLine="0"/>
        <w:jc w:val="both"/>
        <w:rPr>
          <w:rFonts w:ascii="Montserrat" w:hAnsi="Montserrat" w:cs="Calibri"/>
          <w:b/>
          <w:kern w:val="24"/>
          <w:sz w:val="20"/>
          <w:szCs w:val="20"/>
          <w:lang w:val="es-MX"/>
        </w:rPr>
      </w:pPr>
      <w:r w:rsidRPr="00BF1D44">
        <w:rPr>
          <w:rFonts w:ascii="Montserrat" w:hAnsi="Montserrat" w:cs="Calibri"/>
          <w:b/>
          <w:kern w:val="24"/>
          <w:sz w:val="20"/>
          <w:szCs w:val="20"/>
          <w:lang w:val="es-MX"/>
        </w:rPr>
        <w:t xml:space="preserve">Resultados de los mecanismos de seguimiento </w:t>
      </w:r>
    </w:p>
    <w:p w:rsidR="00002693" w:rsidRPr="00BF1D44" w:rsidRDefault="00002693" w:rsidP="00002693">
      <w:pPr>
        <w:widowControl w:val="0"/>
        <w:suppressAutoHyphens/>
        <w:spacing w:line="276" w:lineRule="auto"/>
        <w:ind w:left="709"/>
        <w:jc w:val="both"/>
        <w:rPr>
          <w:rFonts w:ascii="Montserrat" w:hAnsi="Montserrat" w:cs="Calibri"/>
          <w:b/>
          <w:smallCaps/>
          <w:kern w:val="24"/>
          <w:sz w:val="20"/>
          <w:szCs w:val="20"/>
          <w:lang w:val="es-MX"/>
        </w:rPr>
      </w:pPr>
    </w:p>
    <w:p w:rsidR="00063324" w:rsidRPr="00BF1D44" w:rsidRDefault="00B237EF" w:rsidP="00BF1D44">
      <w:pPr>
        <w:spacing w:line="276" w:lineRule="auto"/>
        <w:jc w:val="both"/>
        <w:rPr>
          <w:rFonts w:ascii="Montserrat" w:hAnsi="Montserrat" w:cs="Calibri"/>
          <w:sz w:val="20"/>
          <w:szCs w:val="20"/>
        </w:rPr>
      </w:pPr>
      <w:r w:rsidRPr="00BF1D44">
        <w:rPr>
          <w:rFonts w:ascii="Montserrat" w:hAnsi="Montserrat" w:cs="Calibri"/>
          <w:sz w:val="20"/>
          <w:szCs w:val="20"/>
        </w:rPr>
        <w:t>Los mecanismos por utilizar</w:t>
      </w:r>
      <w:r w:rsidR="00063324" w:rsidRPr="00BF1D44">
        <w:rPr>
          <w:rFonts w:ascii="Montserrat" w:hAnsi="Montserrat" w:cs="Calibri"/>
          <w:sz w:val="20"/>
          <w:szCs w:val="20"/>
        </w:rPr>
        <w:t xml:space="preserve"> para monitorear los resultados obtenidos por los Comités de Contraloría Social </w:t>
      </w:r>
      <w:r w:rsidR="00686BFF" w:rsidRPr="00BF1D44">
        <w:rPr>
          <w:rFonts w:ascii="Montserrat" w:hAnsi="Montserrat" w:cs="Calibri"/>
          <w:sz w:val="20"/>
          <w:szCs w:val="20"/>
        </w:rPr>
        <w:t xml:space="preserve">Programa </w:t>
      </w:r>
      <w:r w:rsidR="00686BFF">
        <w:rPr>
          <w:rFonts w:ascii="Montserrat" w:hAnsi="Montserrat" w:cs="Calibri"/>
          <w:sz w:val="20"/>
          <w:szCs w:val="20"/>
        </w:rPr>
        <w:t>Atención a la Diversidad de la Educación Indígena (PADEI,</w:t>
      </w:r>
      <w:r w:rsidRPr="00BF1D44">
        <w:rPr>
          <w:rFonts w:ascii="Montserrat" w:hAnsi="Montserrat" w:cs="Calibri"/>
          <w:sz w:val="20"/>
          <w:szCs w:val="20"/>
        </w:rPr>
        <w:t xml:space="preserve"> </w:t>
      </w:r>
      <w:r w:rsidR="00063324" w:rsidRPr="00BF1D44">
        <w:rPr>
          <w:rFonts w:ascii="Montserrat" w:hAnsi="Montserrat" w:cs="Calibri"/>
          <w:sz w:val="20"/>
          <w:szCs w:val="20"/>
        </w:rPr>
        <w:t>son los siguientes:</w:t>
      </w:r>
    </w:p>
    <w:p w:rsidR="00B237EF" w:rsidRPr="00BF1D44" w:rsidRDefault="00B237EF" w:rsidP="00BF1D44">
      <w:pPr>
        <w:spacing w:line="276" w:lineRule="auto"/>
        <w:jc w:val="both"/>
        <w:rPr>
          <w:rFonts w:ascii="Montserrat" w:hAnsi="Montserrat" w:cs="Calibri"/>
          <w:sz w:val="20"/>
          <w:szCs w:val="20"/>
        </w:rPr>
      </w:pPr>
    </w:p>
    <w:p w:rsidR="00063324" w:rsidRPr="00BF1D44" w:rsidRDefault="00063324" w:rsidP="00BF1D44">
      <w:pPr>
        <w:spacing w:line="276" w:lineRule="auto"/>
        <w:jc w:val="both"/>
        <w:rPr>
          <w:rFonts w:ascii="Montserrat" w:hAnsi="Montserrat" w:cs="Calibri"/>
          <w:sz w:val="20"/>
          <w:szCs w:val="20"/>
        </w:rPr>
      </w:pPr>
      <w:r w:rsidRPr="00BF1D44">
        <w:rPr>
          <w:rFonts w:ascii="Montserrat" w:hAnsi="Montserrat" w:cs="Calibri"/>
          <w:sz w:val="20"/>
          <w:szCs w:val="20"/>
        </w:rPr>
        <w:t xml:space="preserve">La responsabilidad del monitoreo de la información en el SICS será de la instancia normativa y se le harán llegar periódicamente a las ejecutoras mediante correo electrónico tres cortes de información, brindándoles el avance de las actividades de forma cuatrimestral, para retroalimentación del proceso y de la captura de información, con la finalidad de que cumplan con los tiempos y normatividad establecidos en la Guía Operativa </w:t>
      </w:r>
      <w:r w:rsidR="00686BFF" w:rsidRPr="00BF1D44">
        <w:rPr>
          <w:rFonts w:ascii="Montserrat" w:hAnsi="Montserrat" w:cs="Calibri"/>
          <w:sz w:val="20"/>
          <w:szCs w:val="20"/>
        </w:rPr>
        <w:t xml:space="preserve">Programa </w:t>
      </w:r>
      <w:r w:rsidR="00686BFF">
        <w:rPr>
          <w:rFonts w:ascii="Montserrat" w:hAnsi="Montserrat" w:cs="Calibri"/>
          <w:sz w:val="20"/>
          <w:szCs w:val="20"/>
        </w:rPr>
        <w:t>Atención a la Diversidad de la Educación Indígena (PADEI</w:t>
      </w:r>
      <w:r w:rsidR="001A3DA1">
        <w:rPr>
          <w:rFonts w:ascii="Montserrat" w:hAnsi="Montserrat" w:cs="Calibri"/>
          <w:sz w:val="20"/>
          <w:szCs w:val="20"/>
        </w:rPr>
        <w:t>).</w:t>
      </w:r>
    </w:p>
    <w:p w:rsidR="00063324" w:rsidRPr="00BF1D44" w:rsidRDefault="00063324" w:rsidP="00BF1D44">
      <w:pPr>
        <w:spacing w:line="276" w:lineRule="auto"/>
        <w:ind w:left="720"/>
        <w:jc w:val="both"/>
        <w:rPr>
          <w:rFonts w:ascii="Montserrat" w:hAnsi="Montserrat" w:cs="Calibri"/>
          <w:sz w:val="20"/>
          <w:szCs w:val="20"/>
        </w:rPr>
      </w:pPr>
    </w:p>
    <w:p w:rsidR="00063324" w:rsidRPr="00BF1D44" w:rsidRDefault="00063324" w:rsidP="00BF1D44">
      <w:pPr>
        <w:spacing w:line="276" w:lineRule="auto"/>
        <w:jc w:val="both"/>
        <w:rPr>
          <w:rFonts w:ascii="Montserrat" w:hAnsi="Montserrat" w:cs="Calibri"/>
          <w:sz w:val="20"/>
          <w:szCs w:val="20"/>
        </w:rPr>
      </w:pPr>
      <w:r w:rsidRPr="00BF1D44">
        <w:rPr>
          <w:rFonts w:ascii="Montserrat" w:hAnsi="Montserrat" w:cs="Calibri"/>
          <w:sz w:val="20"/>
          <w:szCs w:val="20"/>
        </w:rPr>
        <w:t xml:space="preserve">El informe final de las quejas y denuncias </w:t>
      </w:r>
      <w:r w:rsidR="002913BB" w:rsidRPr="00BF1D44">
        <w:rPr>
          <w:rFonts w:ascii="Montserrat" w:hAnsi="Montserrat" w:cs="Calibri"/>
          <w:sz w:val="20"/>
          <w:szCs w:val="20"/>
        </w:rPr>
        <w:t>recibidas</w:t>
      </w:r>
      <w:r w:rsidRPr="00BF1D44">
        <w:rPr>
          <w:rFonts w:ascii="Montserrat" w:hAnsi="Montserrat" w:cs="Calibri"/>
          <w:sz w:val="20"/>
          <w:szCs w:val="20"/>
        </w:rPr>
        <w:t xml:space="preserve"> se solicitará a las instancias ejecutoras que sea enviado al finalizar el año, con el fin de verificar la atención y seguimiento de cada una de ellas y detectar en qué casos es necesario realizar un seguimiento específico hasta su resolución.</w:t>
      </w:r>
    </w:p>
    <w:p w:rsidR="00063324" w:rsidRPr="00BF1D44" w:rsidRDefault="00063324" w:rsidP="00BF1D44">
      <w:pPr>
        <w:spacing w:line="276" w:lineRule="auto"/>
        <w:jc w:val="both"/>
        <w:rPr>
          <w:rFonts w:ascii="Montserrat" w:hAnsi="Montserrat" w:cs="Calibri"/>
          <w:sz w:val="20"/>
          <w:szCs w:val="20"/>
        </w:rPr>
      </w:pPr>
      <w:r w:rsidRPr="00BF1D44">
        <w:rPr>
          <w:rFonts w:ascii="Montserrat" w:hAnsi="Montserrat" w:cs="Calibri"/>
          <w:sz w:val="20"/>
          <w:szCs w:val="20"/>
        </w:rPr>
        <w:t xml:space="preserve"> </w:t>
      </w:r>
    </w:p>
    <w:p w:rsidR="00063324" w:rsidRPr="00BF1D44" w:rsidRDefault="00063324" w:rsidP="00BF1D44">
      <w:pPr>
        <w:spacing w:line="276" w:lineRule="auto"/>
        <w:jc w:val="both"/>
        <w:rPr>
          <w:rFonts w:ascii="Montserrat" w:hAnsi="Montserrat" w:cs="Calibri"/>
          <w:sz w:val="20"/>
          <w:szCs w:val="20"/>
        </w:rPr>
      </w:pPr>
      <w:r w:rsidRPr="00BF1D44">
        <w:rPr>
          <w:rFonts w:ascii="Montserrat" w:hAnsi="Montserrat" w:cs="Calibri"/>
          <w:sz w:val="20"/>
          <w:szCs w:val="20"/>
        </w:rPr>
        <w:t>Se analizará conforme a los resultados reflejados en el informe de contraloría social, la situación de cada Comité y el sentir de los integrantes de los mismos respecto al programa, con la finalidad de establecer áreas de oportunidad en donde se tendrá que reforzar nuestra atención.</w:t>
      </w:r>
    </w:p>
    <w:p w:rsidR="00063324" w:rsidRPr="00BF1D44" w:rsidRDefault="00063324" w:rsidP="00BF1D44">
      <w:pPr>
        <w:spacing w:line="276" w:lineRule="auto"/>
        <w:jc w:val="both"/>
        <w:rPr>
          <w:rFonts w:ascii="Montserrat" w:hAnsi="Montserrat" w:cs="Calibri"/>
          <w:sz w:val="20"/>
          <w:szCs w:val="20"/>
        </w:rPr>
      </w:pPr>
    </w:p>
    <w:p w:rsidR="00063324" w:rsidRPr="00BF1D44" w:rsidRDefault="00063324" w:rsidP="00BF1D44">
      <w:pPr>
        <w:spacing w:line="276" w:lineRule="auto"/>
        <w:jc w:val="both"/>
        <w:rPr>
          <w:rFonts w:ascii="Montserrat" w:hAnsi="Montserrat" w:cs="Calibri"/>
          <w:sz w:val="20"/>
          <w:szCs w:val="20"/>
        </w:rPr>
      </w:pPr>
      <w:r w:rsidRPr="00BF1D44">
        <w:rPr>
          <w:rFonts w:ascii="Montserrat" w:hAnsi="Montserrat" w:cs="Calibri"/>
          <w:sz w:val="20"/>
          <w:szCs w:val="20"/>
        </w:rPr>
        <w:t>Se elaborará el informe final de CS, conforme a la información capturada en el SICS y a lo reportado por cada instancia ejecutora, que incluya una propuesta de acciones de mejora; dicho informe será enviado a la Secretaría de la Función Pública y a las instancias ejecutoras detallándoles el estatus de cada una de ellas, con sus debidas recomendaciones.</w:t>
      </w:r>
    </w:p>
    <w:p w:rsidR="00063324" w:rsidRPr="00BF1D44" w:rsidRDefault="00063324" w:rsidP="00063324">
      <w:pPr>
        <w:spacing w:line="276" w:lineRule="auto"/>
        <w:jc w:val="both"/>
        <w:rPr>
          <w:rFonts w:ascii="Montserrat" w:hAnsi="Montserrat" w:cs="Calibri"/>
          <w:sz w:val="20"/>
          <w:szCs w:val="20"/>
        </w:rPr>
      </w:pPr>
    </w:p>
    <w:p w:rsidR="00063324" w:rsidRPr="00BF1D44" w:rsidRDefault="00063324" w:rsidP="004C6DC8">
      <w:pPr>
        <w:widowControl w:val="0"/>
        <w:numPr>
          <w:ilvl w:val="1"/>
          <w:numId w:val="28"/>
        </w:numPr>
        <w:suppressAutoHyphens/>
        <w:ind w:left="284" w:firstLine="425"/>
        <w:jc w:val="both"/>
        <w:rPr>
          <w:rFonts w:ascii="Montserrat" w:hAnsi="Montserrat" w:cs="Calibri"/>
          <w:b/>
          <w:kern w:val="24"/>
          <w:sz w:val="20"/>
          <w:szCs w:val="20"/>
          <w:lang w:val="es-MX"/>
        </w:rPr>
      </w:pPr>
      <w:r w:rsidRPr="00BF1D44">
        <w:rPr>
          <w:rFonts w:ascii="Montserrat" w:hAnsi="Montserrat" w:cs="Calibri"/>
          <w:b/>
          <w:kern w:val="24"/>
          <w:sz w:val="20"/>
          <w:szCs w:val="20"/>
          <w:lang w:val="es-MX"/>
        </w:rPr>
        <w:lastRenderedPageBreak/>
        <w:t xml:space="preserve"> </w:t>
      </w:r>
      <w:r w:rsidR="004C6DC8" w:rsidRPr="00BF1D44">
        <w:rPr>
          <w:rFonts w:ascii="Montserrat" w:hAnsi="Montserrat" w:cs="Calibri"/>
          <w:b/>
          <w:kern w:val="24"/>
          <w:sz w:val="20"/>
          <w:szCs w:val="20"/>
          <w:lang w:val="es-MX"/>
        </w:rPr>
        <w:t>Vinculación con mecanismos de denuncia existentes</w:t>
      </w:r>
    </w:p>
    <w:p w:rsidR="004C6DC8" w:rsidRPr="00BF1D44" w:rsidRDefault="004C6DC8" w:rsidP="00063324">
      <w:pPr>
        <w:jc w:val="both"/>
        <w:rPr>
          <w:rFonts w:ascii="Montserrat" w:hAnsi="Montserrat" w:cs="Calibri"/>
          <w:sz w:val="20"/>
          <w:szCs w:val="20"/>
        </w:rPr>
      </w:pPr>
    </w:p>
    <w:p w:rsidR="00063324" w:rsidRPr="00BF1D44" w:rsidRDefault="00063324" w:rsidP="00BF1D44">
      <w:pPr>
        <w:spacing w:line="276" w:lineRule="auto"/>
        <w:jc w:val="both"/>
        <w:rPr>
          <w:rFonts w:ascii="Montserrat" w:hAnsi="Montserrat" w:cs="Calibri"/>
          <w:sz w:val="20"/>
          <w:szCs w:val="20"/>
        </w:rPr>
      </w:pPr>
      <w:r w:rsidRPr="00BF1D44">
        <w:rPr>
          <w:rFonts w:ascii="Montserrat" w:hAnsi="Montserrat" w:cs="Calibri"/>
          <w:sz w:val="20"/>
          <w:szCs w:val="20"/>
        </w:rPr>
        <w:t>Se promoverá la vinculación de seguimiento de las quejas y denuncias recibidas, con los mecanismos de denuncia existentes, establecidos en la Guía Operativa.</w:t>
      </w:r>
    </w:p>
    <w:p w:rsidR="00063324" w:rsidRPr="00BF1D44" w:rsidRDefault="00063324" w:rsidP="00BF1D44">
      <w:pPr>
        <w:spacing w:line="276" w:lineRule="auto"/>
        <w:ind w:left="1080" w:firstLine="349"/>
        <w:jc w:val="both"/>
        <w:rPr>
          <w:rFonts w:ascii="Montserrat" w:hAnsi="Montserrat" w:cs="Calibri"/>
          <w:b/>
          <w:smallCaps/>
          <w:kern w:val="24"/>
          <w:sz w:val="20"/>
          <w:szCs w:val="20"/>
          <w:lang w:val="es-MX"/>
        </w:rPr>
      </w:pPr>
    </w:p>
    <w:p w:rsidR="00063324" w:rsidRPr="00BF1D44" w:rsidRDefault="00063324" w:rsidP="00BF1D44">
      <w:pPr>
        <w:spacing w:line="276" w:lineRule="auto"/>
        <w:ind w:left="1080"/>
        <w:jc w:val="both"/>
        <w:rPr>
          <w:rFonts w:ascii="Montserrat" w:hAnsi="Montserrat" w:cs="Calibri"/>
          <w:b/>
          <w:smallCaps/>
          <w:kern w:val="24"/>
          <w:sz w:val="20"/>
          <w:szCs w:val="20"/>
        </w:rPr>
      </w:pPr>
    </w:p>
    <w:p w:rsidR="00063324" w:rsidRPr="00BF1D44" w:rsidRDefault="00063324" w:rsidP="00063324">
      <w:pPr>
        <w:widowControl w:val="0"/>
        <w:numPr>
          <w:ilvl w:val="0"/>
          <w:numId w:val="28"/>
        </w:numPr>
        <w:suppressAutoHyphens/>
        <w:jc w:val="both"/>
        <w:rPr>
          <w:rFonts w:ascii="Montserrat" w:hAnsi="Montserrat" w:cs="Calibri"/>
          <w:b/>
          <w:smallCaps/>
          <w:kern w:val="24"/>
          <w:sz w:val="20"/>
          <w:szCs w:val="20"/>
        </w:rPr>
      </w:pPr>
      <w:r w:rsidRPr="00BF1D44">
        <w:rPr>
          <w:rFonts w:ascii="Montserrat" w:hAnsi="Montserrat" w:cs="Calibri"/>
          <w:b/>
          <w:smallCaps/>
          <w:kern w:val="24"/>
          <w:sz w:val="20"/>
          <w:szCs w:val="20"/>
          <w:lang w:val="es-MX"/>
        </w:rPr>
        <w:t>ACTIVIDADES DE COORDINACIÓN</w:t>
      </w:r>
    </w:p>
    <w:p w:rsidR="00063324" w:rsidRPr="00BF1D44" w:rsidRDefault="00063324" w:rsidP="00063324">
      <w:pPr>
        <w:spacing w:line="276" w:lineRule="auto"/>
        <w:jc w:val="both"/>
        <w:rPr>
          <w:rFonts w:ascii="Montserrat" w:hAnsi="Montserrat" w:cs="Calibri"/>
          <w:sz w:val="20"/>
          <w:szCs w:val="20"/>
        </w:rPr>
      </w:pPr>
    </w:p>
    <w:p w:rsidR="00063324" w:rsidRPr="00BF1D44" w:rsidRDefault="00063324" w:rsidP="00BF1D44">
      <w:pPr>
        <w:spacing w:line="276" w:lineRule="auto"/>
        <w:jc w:val="both"/>
        <w:rPr>
          <w:rFonts w:ascii="Montserrat" w:hAnsi="Montserrat" w:cs="Calibri"/>
          <w:sz w:val="20"/>
          <w:szCs w:val="20"/>
        </w:rPr>
      </w:pPr>
      <w:r w:rsidRPr="00BF1D44">
        <w:rPr>
          <w:rFonts w:ascii="Montserrat" w:hAnsi="Montserrat" w:cs="Calibri"/>
          <w:sz w:val="20"/>
          <w:szCs w:val="20"/>
        </w:rPr>
        <w:t xml:space="preserve">Las Reglas de Operación del Programa </w:t>
      </w:r>
      <w:r w:rsidR="001A3DA1">
        <w:rPr>
          <w:rFonts w:ascii="Montserrat" w:hAnsi="Montserrat" w:cs="Calibri"/>
          <w:sz w:val="20"/>
          <w:szCs w:val="20"/>
        </w:rPr>
        <w:t>Atención a la Diversidad de la Educación Indígena (PADEI)</w:t>
      </w:r>
      <w:r w:rsidRPr="00BF1D44">
        <w:rPr>
          <w:rFonts w:ascii="Montserrat" w:hAnsi="Montserrat" w:cs="Calibri"/>
          <w:sz w:val="20"/>
          <w:szCs w:val="20"/>
        </w:rPr>
        <w:t xml:space="preserve">, establece el marco bajo el cual se instrumentará la Contraloría Social en cada una de las opciones de beca que lo integra y que a la letra dice:  </w:t>
      </w:r>
    </w:p>
    <w:p w:rsidR="005034F6" w:rsidRPr="00BF1D44" w:rsidRDefault="005034F6" w:rsidP="00BF1D44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Calibri"/>
          <w:i/>
          <w:sz w:val="20"/>
          <w:szCs w:val="20"/>
        </w:rPr>
      </w:pPr>
    </w:p>
    <w:p w:rsidR="00063324" w:rsidRPr="00BF1D44" w:rsidRDefault="00063324" w:rsidP="00BF1D44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Calibri"/>
          <w:i/>
          <w:sz w:val="20"/>
          <w:szCs w:val="20"/>
        </w:rPr>
      </w:pPr>
      <w:r w:rsidRPr="00BF1D44">
        <w:rPr>
          <w:rFonts w:ascii="Montserrat" w:hAnsi="Montserrat" w:cs="Calibri"/>
          <w:i/>
          <w:sz w:val="20"/>
          <w:szCs w:val="20"/>
        </w:rPr>
        <w:t xml:space="preserve">7.2 Contraloría Social </w:t>
      </w:r>
    </w:p>
    <w:p w:rsidR="001A3DA1" w:rsidRPr="001A3DA1" w:rsidRDefault="001A3DA1" w:rsidP="001A3DA1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Calibri"/>
          <w:i/>
          <w:sz w:val="20"/>
          <w:szCs w:val="20"/>
        </w:rPr>
      </w:pPr>
      <w:r>
        <w:rPr>
          <w:rFonts w:ascii="Montserrat" w:hAnsi="Montserrat" w:cs="Calibri"/>
          <w:i/>
          <w:sz w:val="20"/>
          <w:szCs w:val="20"/>
        </w:rPr>
        <w:t>“</w:t>
      </w:r>
      <w:r w:rsidRPr="001A3DA1">
        <w:rPr>
          <w:rFonts w:ascii="Montserrat" w:hAnsi="Montserrat" w:cs="Calibri"/>
          <w:i/>
          <w:sz w:val="20"/>
          <w:szCs w:val="20"/>
        </w:rPr>
        <w:t>Se promoverá la participación de la población beneficiaria del Programa, así como de organizaciones de la sociedad civil o ciudadana interesada en monitorear el programa. Lo anterior será a través de la integración, operación y vinculación de contralorías sociales o figuras análogas, para el seguimiento, supervisión y vigilancia del cumplimiento de las metas y acciones comprometidas en el Programa, así como de la correcta aplicación de los recursos públicos asignados al mismo.</w:t>
      </w:r>
    </w:p>
    <w:p w:rsidR="001A3DA1" w:rsidRPr="001A3DA1" w:rsidRDefault="001A3DA1" w:rsidP="001A3DA1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Calibri"/>
          <w:i/>
          <w:sz w:val="20"/>
          <w:szCs w:val="20"/>
        </w:rPr>
      </w:pPr>
    </w:p>
    <w:p w:rsidR="00063324" w:rsidRPr="001A3DA1" w:rsidRDefault="001A3DA1" w:rsidP="001A3DA1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Calibri"/>
          <w:i/>
          <w:sz w:val="20"/>
          <w:szCs w:val="20"/>
        </w:rPr>
      </w:pPr>
      <w:r w:rsidRPr="001A3DA1">
        <w:rPr>
          <w:rFonts w:ascii="Montserrat" w:hAnsi="Montserrat" w:cs="Calibri"/>
          <w:i/>
          <w:sz w:val="20"/>
          <w:szCs w:val="20"/>
        </w:rPr>
        <w:t>El programa se sujetará los lineamientos vigentes emitidos por la SFP, para promover las acciones necesarias que permitan la efectividad de la vigilancia ciudadana, bajo el esquema o esquemas validados por la Secretaría de la Función Pública</w:t>
      </w:r>
      <w:r>
        <w:rPr>
          <w:rFonts w:ascii="Montserrat" w:hAnsi="Montserrat" w:cs="Calibri"/>
          <w:i/>
          <w:sz w:val="20"/>
          <w:szCs w:val="20"/>
        </w:rPr>
        <w:t>”</w:t>
      </w:r>
      <w:r w:rsidRPr="001A3DA1">
        <w:rPr>
          <w:rFonts w:ascii="Montserrat" w:hAnsi="Montserrat" w:cs="Calibri"/>
          <w:i/>
          <w:sz w:val="20"/>
          <w:szCs w:val="20"/>
        </w:rPr>
        <w:t>.</w:t>
      </w:r>
    </w:p>
    <w:p w:rsidR="00063324" w:rsidRPr="00BF1D44" w:rsidRDefault="00063324" w:rsidP="001A3DA1">
      <w:pPr>
        <w:autoSpaceDE w:val="0"/>
        <w:autoSpaceDN w:val="0"/>
        <w:adjustRightInd w:val="0"/>
        <w:spacing w:line="276" w:lineRule="auto"/>
        <w:jc w:val="both"/>
        <w:rPr>
          <w:rFonts w:ascii="Montserrat" w:eastAsia="Times New Roman" w:hAnsi="Montserrat" w:cs="Arial"/>
          <w:sz w:val="20"/>
          <w:szCs w:val="20"/>
          <w:lang w:val="es-MX" w:eastAsia="en-US"/>
        </w:rPr>
      </w:pPr>
    </w:p>
    <w:p w:rsidR="00E85088" w:rsidRPr="00BF1D44" w:rsidRDefault="00E85088" w:rsidP="00E85088">
      <w:pPr>
        <w:autoSpaceDE w:val="0"/>
        <w:autoSpaceDN w:val="0"/>
        <w:adjustRightInd w:val="0"/>
        <w:ind w:left="1080"/>
        <w:jc w:val="both"/>
        <w:rPr>
          <w:rFonts w:ascii="Montserrat" w:hAnsi="Montserrat"/>
          <w:b/>
          <w:sz w:val="20"/>
          <w:szCs w:val="20"/>
          <w:lang w:val="es-MX"/>
        </w:rPr>
      </w:pPr>
    </w:p>
    <w:p w:rsidR="00E85088" w:rsidRPr="00BF1D44" w:rsidRDefault="00E85088" w:rsidP="00E85088">
      <w:pPr>
        <w:autoSpaceDE w:val="0"/>
        <w:autoSpaceDN w:val="0"/>
        <w:adjustRightInd w:val="0"/>
        <w:ind w:left="1080"/>
        <w:jc w:val="both"/>
        <w:rPr>
          <w:rFonts w:ascii="Montserrat" w:hAnsi="Montserrat"/>
          <w:b/>
          <w:sz w:val="20"/>
          <w:szCs w:val="20"/>
        </w:rPr>
      </w:pPr>
    </w:p>
    <w:p w:rsidR="00E85088" w:rsidRPr="00BF1D44" w:rsidRDefault="00E85088" w:rsidP="00E85088">
      <w:pPr>
        <w:autoSpaceDE w:val="0"/>
        <w:autoSpaceDN w:val="0"/>
        <w:adjustRightInd w:val="0"/>
        <w:jc w:val="both"/>
        <w:rPr>
          <w:rFonts w:ascii="Montserrat" w:hAnsi="Montserrat"/>
          <w:b/>
          <w:sz w:val="20"/>
          <w:szCs w:val="20"/>
        </w:rPr>
      </w:pPr>
    </w:p>
    <w:p w:rsidR="00E85088" w:rsidRPr="00BF1D44" w:rsidRDefault="00E85088" w:rsidP="00E85088">
      <w:pPr>
        <w:autoSpaceDE w:val="0"/>
        <w:autoSpaceDN w:val="0"/>
        <w:adjustRightInd w:val="0"/>
        <w:jc w:val="both"/>
        <w:rPr>
          <w:rFonts w:ascii="Montserrat" w:hAnsi="Montserrat"/>
          <w:b/>
          <w:sz w:val="20"/>
          <w:szCs w:val="20"/>
        </w:rPr>
      </w:pPr>
    </w:p>
    <w:p w:rsidR="00E85088" w:rsidRPr="00BF1D44" w:rsidRDefault="00E85088" w:rsidP="00E85088">
      <w:pPr>
        <w:autoSpaceDE w:val="0"/>
        <w:autoSpaceDN w:val="0"/>
        <w:adjustRightInd w:val="0"/>
        <w:jc w:val="both"/>
        <w:rPr>
          <w:rFonts w:ascii="Montserrat" w:hAnsi="Montserrat"/>
          <w:b/>
          <w:sz w:val="20"/>
          <w:szCs w:val="20"/>
        </w:rPr>
      </w:pPr>
    </w:p>
    <w:p w:rsidR="00E85088" w:rsidRPr="00BF1D44" w:rsidRDefault="00E85088" w:rsidP="00E85088">
      <w:pPr>
        <w:autoSpaceDE w:val="0"/>
        <w:autoSpaceDN w:val="0"/>
        <w:adjustRightInd w:val="0"/>
        <w:jc w:val="both"/>
        <w:rPr>
          <w:rFonts w:ascii="Montserrat" w:hAnsi="Montserrat"/>
          <w:b/>
          <w:sz w:val="20"/>
          <w:szCs w:val="20"/>
        </w:rPr>
      </w:pPr>
    </w:p>
    <w:p w:rsidR="00E85088" w:rsidRPr="00BF1D44" w:rsidRDefault="00E85088" w:rsidP="00E85088">
      <w:pPr>
        <w:autoSpaceDE w:val="0"/>
        <w:autoSpaceDN w:val="0"/>
        <w:adjustRightInd w:val="0"/>
        <w:jc w:val="both"/>
        <w:rPr>
          <w:rFonts w:ascii="Montserrat" w:hAnsi="Montserrat"/>
          <w:b/>
          <w:sz w:val="20"/>
          <w:szCs w:val="20"/>
        </w:rPr>
      </w:pPr>
    </w:p>
    <w:p w:rsidR="00E85088" w:rsidRPr="00BF1D44" w:rsidRDefault="00E85088" w:rsidP="00E85088">
      <w:pPr>
        <w:autoSpaceDE w:val="0"/>
        <w:autoSpaceDN w:val="0"/>
        <w:adjustRightInd w:val="0"/>
        <w:jc w:val="both"/>
        <w:rPr>
          <w:rFonts w:ascii="Montserrat" w:hAnsi="Montserrat"/>
          <w:b/>
          <w:sz w:val="20"/>
          <w:szCs w:val="20"/>
        </w:rPr>
      </w:pPr>
    </w:p>
    <w:p w:rsidR="00E85088" w:rsidRPr="00BF1D44" w:rsidRDefault="00E85088" w:rsidP="00E85088">
      <w:pPr>
        <w:autoSpaceDE w:val="0"/>
        <w:autoSpaceDN w:val="0"/>
        <w:adjustRightInd w:val="0"/>
        <w:jc w:val="both"/>
        <w:rPr>
          <w:rFonts w:ascii="Montserrat" w:hAnsi="Montserrat"/>
          <w:b/>
          <w:sz w:val="20"/>
          <w:szCs w:val="20"/>
        </w:rPr>
      </w:pPr>
    </w:p>
    <w:sectPr w:rsidR="00E85088" w:rsidRPr="00BF1D44" w:rsidSect="00D14497">
      <w:headerReference w:type="default" r:id="rId9"/>
      <w:footerReference w:type="default" r:id="rId10"/>
      <w:pgSz w:w="12240" w:h="15840" w:code="1"/>
      <w:pgMar w:top="2160" w:right="1467" w:bottom="284" w:left="1418" w:header="284" w:footer="52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75F818" w15:done="0"/>
  <w15:commentEx w15:paraId="4BBBA2D6" w15:done="0"/>
  <w15:commentEx w15:paraId="7862B7B7" w15:done="0"/>
  <w15:commentEx w15:paraId="7E2EEEB9" w15:done="0"/>
  <w15:commentEx w15:paraId="69892A2A" w15:done="0"/>
  <w15:commentEx w15:paraId="4E2369F2" w15:done="0"/>
  <w15:commentEx w15:paraId="3FA436D7" w15:done="0"/>
  <w15:commentEx w15:paraId="6FEBB2A3" w15:done="0"/>
  <w15:commentEx w15:paraId="19D8AC5A" w15:done="0"/>
  <w15:commentEx w15:paraId="2858AECC" w15:done="0"/>
  <w15:commentEx w15:paraId="6D368121" w15:done="0"/>
  <w15:commentEx w15:paraId="5F04B198" w15:done="0"/>
  <w15:commentEx w15:paraId="521DEF8E" w15:done="0"/>
  <w15:commentEx w15:paraId="5F3AC6B6" w15:done="0"/>
  <w15:commentEx w15:paraId="617C0488" w15:done="0"/>
  <w15:commentEx w15:paraId="6DC6CF76" w15:done="0"/>
  <w15:commentEx w15:paraId="7F11DDF2" w15:done="0"/>
  <w15:commentEx w15:paraId="6B7C8552" w15:done="0"/>
  <w15:commentEx w15:paraId="2313971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276" w:rsidRDefault="00511276" w:rsidP="00C03AAF">
      <w:r>
        <w:separator/>
      </w:r>
    </w:p>
  </w:endnote>
  <w:endnote w:type="continuationSeparator" w:id="0">
    <w:p w:rsidR="00511276" w:rsidRDefault="00511276" w:rsidP="00C03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1A" w:rsidRDefault="0004321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  <w:lang w:val="es-ES"/>
      </w:rPr>
      <w:t>Página</w:t>
    </w:r>
    <w:r>
      <w:rPr>
        <w:color w:val="8496B0" w:themeColor="text2" w:themeTint="99"/>
        <w:lang w:val="es-ES"/>
      </w:rPr>
      <w:t xml:space="preserve"> </w:t>
    </w:r>
    <w:r w:rsidR="0078713C"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 w:rsidR="0078713C">
      <w:rPr>
        <w:color w:val="323E4F" w:themeColor="text2" w:themeShade="BF"/>
      </w:rPr>
      <w:fldChar w:fldCharType="separate"/>
    </w:r>
    <w:r w:rsidR="00046360" w:rsidRPr="00046360">
      <w:rPr>
        <w:noProof/>
        <w:color w:val="323E4F" w:themeColor="text2" w:themeShade="BF"/>
        <w:lang w:val="es-ES"/>
      </w:rPr>
      <w:t>1</w:t>
    </w:r>
    <w:r w:rsidR="0078713C">
      <w:rPr>
        <w:color w:val="323E4F" w:themeColor="text2" w:themeShade="BF"/>
      </w:rPr>
      <w:fldChar w:fldCharType="end"/>
    </w:r>
    <w:r>
      <w:rPr>
        <w:color w:val="323E4F" w:themeColor="text2" w:themeShade="BF"/>
        <w:lang w:val="es-ES"/>
      </w:rPr>
      <w:t xml:space="preserve"> | </w:t>
    </w:r>
    <w:fldSimple w:instr="NUMPAGES  \* Arabic  \* MERGEFORMAT">
      <w:r w:rsidR="00046360" w:rsidRPr="00046360">
        <w:rPr>
          <w:noProof/>
          <w:color w:val="323E4F" w:themeColor="text2" w:themeShade="BF"/>
          <w:lang w:val="es-ES"/>
        </w:rPr>
        <w:t>5</w:t>
      </w:r>
    </w:fldSimple>
  </w:p>
  <w:p w:rsidR="0004321A" w:rsidRDefault="0004321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276" w:rsidRDefault="00511276" w:rsidP="00C03AAF">
      <w:r>
        <w:separator/>
      </w:r>
    </w:p>
  </w:footnote>
  <w:footnote w:type="continuationSeparator" w:id="0">
    <w:p w:rsidR="00511276" w:rsidRDefault="00511276" w:rsidP="00C03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93" w:rsidRDefault="004D25BC" w:rsidP="00002693">
    <w:pPr>
      <w:tabs>
        <w:tab w:val="left" w:pos="765"/>
        <w:tab w:val="right" w:pos="8838"/>
      </w:tabs>
      <w:jc w:val="right"/>
      <w:rPr>
        <w:rFonts w:ascii="Adobe Caslon Pro Bold" w:hAnsi="Adobe Caslon Pro Bold"/>
        <w:b/>
        <w:color w:val="7F7F7F" w:themeColor="text1" w:themeTint="80"/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-300355</wp:posOffset>
          </wp:positionH>
          <wp:positionV relativeFrom="page">
            <wp:posOffset>57198</wp:posOffset>
          </wp:positionV>
          <wp:extent cx="1977473" cy="1143000"/>
          <wp:effectExtent l="0" t="0" r="3810" b="0"/>
          <wp:wrapNone/>
          <wp:docPr id="77" name="Imagen 77" descr="Anuncia secretaría Sandoval Ballesteros convocatoria de ingreso 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uncia secretaría Sandoval Ballesteros convocatoria de ingreso 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47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D25BC">
      <w:rPr>
        <w:rFonts w:ascii="Adobe Caslon Pro Bold" w:hAnsi="Adobe Caslon Pro Bold"/>
        <w:b/>
        <w:color w:val="7F7F7F" w:themeColor="text1" w:themeTint="80"/>
        <w:sz w:val="18"/>
        <w:szCs w:val="18"/>
      </w:rPr>
      <w:t xml:space="preserve"> </w:t>
    </w:r>
  </w:p>
  <w:p w:rsidR="004D25BC" w:rsidRDefault="004D25BC" w:rsidP="004D25BC">
    <w:pPr>
      <w:tabs>
        <w:tab w:val="left" w:pos="765"/>
        <w:tab w:val="center" w:pos="4677"/>
        <w:tab w:val="right" w:pos="8838"/>
        <w:tab w:val="right" w:pos="9355"/>
      </w:tabs>
      <w:rPr>
        <w:rFonts w:ascii="Adobe Caslon Pro Bold" w:hAnsi="Adobe Caslon Pro Bold"/>
        <w:b/>
        <w:color w:val="7F7F7F" w:themeColor="text1" w:themeTint="80"/>
        <w:sz w:val="18"/>
        <w:szCs w:val="18"/>
      </w:rPr>
    </w:pPr>
    <w:r w:rsidRPr="004D25BC">
      <w:rPr>
        <w:rFonts w:ascii="Adobe Caslon Pro Bold" w:hAnsi="Adobe Caslon Pro Bold"/>
        <w:b/>
        <w:noProof/>
        <w:color w:val="7F7F7F" w:themeColor="text1" w:themeTint="80"/>
        <w:sz w:val="18"/>
        <w:szCs w:val="18"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400050</wp:posOffset>
          </wp:positionV>
          <wp:extent cx="2657475" cy="41973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dobe Caslon Pro Bold" w:hAnsi="Adobe Caslon Pro Bold"/>
        <w:b/>
        <w:color w:val="7F7F7F" w:themeColor="text1" w:themeTint="80"/>
        <w:sz w:val="18"/>
        <w:szCs w:val="18"/>
      </w:rPr>
      <w:tab/>
    </w:r>
    <w:r>
      <w:rPr>
        <w:rFonts w:ascii="Adobe Caslon Pro Bold" w:hAnsi="Adobe Caslon Pro Bold"/>
        <w:b/>
        <w:color w:val="7F7F7F" w:themeColor="text1" w:themeTint="80"/>
        <w:sz w:val="18"/>
        <w:szCs w:val="18"/>
      </w:rPr>
      <w:tab/>
    </w:r>
  </w:p>
  <w:p w:rsidR="00002693" w:rsidRPr="004318BC" w:rsidRDefault="004D25BC" w:rsidP="004D25BC">
    <w:pPr>
      <w:tabs>
        <w:tab w:val="left" w:pos="4200"/>
        <w:tab w:val="right" w:pos="9923"/>
      </w:tabs>
      <w:ind w:right="-568"/>
      <w:rPr>
        <w:rFonts w:ascii="Montserrat ExtraBold" w:hAnsi="Montserrat ExtraBold"/>
        <w:b/>
        <w:sz w:val="18"/>
        <w:szCs w:val="18"/>
      </w:rPr>
    </w:pPr>
    <w:r>
      <w:rPr>
        <w:rFonts w:ascii="Montserrat" w:hAnsi="Montserrat"/>
        <w:b/>
        <w:noProof/>
        <w:sz w:val="16"/>
        <w:szCs w:val="16"/>
      </w:rPr>
      <w:tab/>
    </w:r>
    <w:r>
      <w:rPr>
        <w:rFonts w:ascii="Montserrat" w:hAnsi="Montserrat"/>
        <w:b/>
        <w:noProof/>
        <w:sz w:val="16"/>
        <w:szCs w:val="16"/>
      </w:rPr>
      <w:tab/>
    </w:r>
    <w:r w:rsidR="00002693" w:rsidRPr="00C5358A">
      <w:rPr>
        <w:rFonts w:ascii="Montserrat" w:hAnsi="Montserrat"/>
        <w:b/>
        <w:noProof/>
        <w:sz w:val="16"/>
        <w:szCs w:val="16"/>
      </w:rPr>
      <w:t>Subsecretaría de Educación Básica</w:t>
    </w:r>
  </w:p>
  <w:p w:rsidR="00002693" w:rsidRDefault="00002693" w:rsidP="00002693">
    <w:pPr>
      <w:tabs>
        <w:tab w:val="left" w:pos="3054"/>
        <w:tab w:val="right" w:pos="9972"/>
      </w:tabs>
      <w:ind w:right="-568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ab/>
    </w:r>
    <w:r>
      <w:rPr>
        <w:rFonts w:ascii="Montserrat" w:hAnsi="Montserrat"/>
        <w:b/>
        <w:sz w:val="16"/>
        <w:szCs w:val="16"/>
      </w:rPr>
      <w:tab/>
      <w:t xml:space="preserve"> Dirección General de Educación Indígena</w:t>
    </w:r>
    <w:r w:rsidR="007F385A">
      <w:rPr>
        <w:rFonts w:ascii="Montserrat" w:hAnsi="Montserrat"/>
        <w:b/>
        <w:sz w:val="16"/>
        <w:szCs w:val="16"/>
      </w:rPr>
      <w:t>,</w:t>
    </w:r>
  </w:p>
  <w:p w:rsidR="007F385A" w:rsidRPr="004318BC" w:rsidRDefault="007F385A" w:rsidP="007F385A">
    <w:pPr>
      <w:tabs>
        <w:tab w:val="left" w:pos="3054"/>
        <w:tab w:val="right" w:pos="9972"/>
      </w:tabs>
      <w:ind w:right="-568"/>
      <w:jc w:val="right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>Intercultural y Bilingüe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D39"/>
    <w:multiLevelType w:val="hybridMultilevel"/>
    <w:tmpl w:val="641A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91205"/>
    <w:multiLevelType w:val="hybridMultilevel"/>
    <w:tmpl w:val="B3765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F6B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63B5B"/>
    <w:multiLevelType w:val="hybridMultilevel"/>
    <w:tmpl w:val="BF9089B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BD108D2"/>
    <w:multiLevelType w:val="hybridMultilevel"/>
    <w:tmpl w:val="FFB0B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23A45"/>
    <w:multiLevelType w:val="hybridMultilevel"/>
    <w:tmpl w:val="76007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3582C"/>
    <w:multiLevelType w:val="hybridMultilevel"/>
    <w:tmpl w:val="BEB0EA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85350"/>
    <w:multiLevelType w:val="hybridMultilevel"/>
    <w:tmpl w:val="D20476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3546B"/>
    <w:multiLevelType w:val="hybridMultilevel"/>
    <w:tmpl w:val="C8641B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35D2D"/>
    <w:multiLevelType w:val="hybridMultilevel"/>
    <w:tmpl w:val="A7FC20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5609F"/>
    <w:multiLevelType w:val="hybridMultilevel"/>
    <w:tmpl w:val="758E5A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73731"/>
    <w:multiLevelType w:val="hybridMultilevel"/>
    <w:tmpl w:val="FDA2F5E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22652B"/>
    <w:multiLevelType w:val="hybridMultilevel"/>
    <w:tmpl w:val="BF3E2738"/>
    <w:lvl w:ilvl="0" w:tplc="08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C3179"/>
    <w:multiLevelType w:val="hybridMultilevel"/>
    <w:tmpl w:val="D2F0E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E1958"/>
    <w:multiLevelType w:val="hybridMultilevel"/>
    <w:tmpl w:val="FA04380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73D65"/>
    <w:multiLevelType w:val="hybridMultilevel"/>
    <w:tmpl w:val="2940F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82429"/>
    <w:multiLevelType w:val="hybridMultilevel"/>
    <w:tmpl w:val="CC4C1F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C3264"/>
    <w:multiLevelType w:val="hybridMultilevel"/>
    <w:tmpl w:val="E438FB8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EF1F86"/>
    <w:multiLevelType w:val="hybridMultilevel"/>
    <w:tmpl w:val="2ED02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C10C8"/>
    <w:multiLevelType w:val="hybridMultilevel"/>
    <w:tmpl w:val="1B4234E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DF1D9A"/>
    <w:multiLevelType w:val="hybridMultilevel"/>
    <w:tmpl w:val="CB3445A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CE4713C"/>
    <w:multiLevelType w:val="hybridMultilevel"/>
    <w:tmpl w:val="B91C0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74306F"/>
    <w:multiLevelType w:val="multilevel"/>
    <w:tmpl w:val="01FC6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641D66EC"/>
    <w:multiLevelType w:val="multilevel"/>
    <w:tmpl w:val="5F58330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4276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7123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3">
    <w:nsid w:val="71E64E27"/>
    <w:multiLevelType w:val="hybridMultilevel"/>
    <w:tmpl w:val="C81EB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90116"/>
    <w:multiLevelType w:val="multilevel"/>
    <w:tmpl w:val="C0A033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79AB6697"/>
    <w:multiLevelType w:val="hybridMultilevel"/>
    <w:tmpl w:val="6A142064"/>
    <w:lvl w:ilvl="0" w:tplc="81749F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A146A4"/>
    <w:multiLevelType w:val="hybridMultilevel"/>
    <w:tmpl w:val="9E92D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1205A"/>
    <w:multiLevelType w:val="hybridMultilevel"/>
    <w:tmpl w:val="64580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059C5"/>
    <w:multiLevelType w:val="hybridMultilevel"/>
    <w:tmpl w:val="4F5AB4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9"/>
  </w:num>
  <w:num w:numId="4">
    <w:abstractNumId w:val="6"/>
  </w:num>
  <w:num w:numId="5">
    <w:abstractNumId w:val="25"/>
  </w:num>
  <w:num w:numId="6">
    <w:abstractNumId w:val="13"/>
  </w:num>
  <w:num w:numId="7">
    <w:abstractNumId w:val="17"/>
  </w:num>
  <w:num w:numId="8">
    <w:abstractNumId w:val="27"/>
  </w:num>
  <w:num w:numId="9">
    <w:abstractNumId w:val="0"/>
  </w:num>
  <w:num w:numId="10">
    <w:abstractNumId w:val="9"/>
  </w:num>
  <w:num w:numId="11">
    <w:abstractNumId w:val="26"/>
  </w:num>
  <w:num w:numId="12">
    <w:abstractNumId w:val="16"/>
  </w:num>
  <w:num w:numId="13">
    <w:abstractNumId w:val="1"/>
  </w:num>
  <w:num w:numId="14">
    <w:abstractNumId w:val="2"/>
  </w:num>
  <w:num w:numId="15">
    <w:abstractNumId w:val="8"/>
  </w:num>
  <w:num w:numId="16">
    <w:abstractNumId w:val="15"/>
  </w:num>
  <w:num w:numId="17">
    <w:abstractNumId w:val="18"/>
  </w:num>
  <w:num w:numId="18">
    <w:abstractNumId w:val="14"/>
  </w:num>
  <w:num w:numId="19">
    <w:abstractNumId w:val="10"/>
  </w:num>
  <w:num w:numId="20">
    <w:abstractNumId w:val="3"/>
  </w:num>
  <w:num w:numId="21">
    <w:abstractNumId w:val="20"/>
  </w:num>
  <w:num w:numId="22">
    <w:abstractNumId w:val="5"/>
  </w:num>
  <w:num w:numId="23">
    <w:abstractNumId w:val="4"/>
  </w:num>
  <w:num w:numId="24">
    <w:abstractNumId w:val="23"/>
  </w:num>
  <w:num w:numId="25">
    <w:abstractNumId w:val="7"/>
  </w:num>
  <w:num w:numId="26">
    <w:abstractNumId w:val="21"/>
  </w:num>
  <w:num w:numId="27">
    <w:abstractNumId w:val="12"/>
  </w:num>
  <w:num w:numId="28">
    <w:abstractNumId w:val="24"/>
  </w:num>
  <w:num w:numId="29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ra Elena Septien Jaramillo">
    <w15:presenceInfo w15:providerId="AD" w15:userId="S-1-5-21-4100486095-2910406311-1643779924-174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55D0"/>
    <w:rsid w:val="00002693"/>
    <w:rsid w:val="00010CB8"/>
    <w:rsid w:val="0004321A"/>
    <w:rsid w:val="00046360"/>
    <w:rsid w:val="00063324"/>
    <w:rsid w:val="00082FB1"/>
    <w:rsid w:val="000A60F6"/>
    <w:rsid w:val="000D0B7F"/>
    <w:rsid w:val="000F7198"/>
    <w:rsid w:val="00110BD9"/>
    <w:rsid w:val="0015201F"/>
    <w:rsid w:val="001A3DA1"/>
    <w:rsid w:val="001D50BB"/>
    <w:rsid w:val="001E4072"/>
    <w:rsid w:val="00201768"/>
    <w:rsid w:val="002849EF"/>
    <w:rsid w:val="002913BB"/>
    <w:rsid w:val="002C0EF8"/>
    <w:rsid w:val="00351EE2"/>
    <w:rsid w:val="003570D4"/>
    <w:rsid w:val="00397FC9"/>
    <w:rsid w:val="003A108C"/>
    <w:rsid w:val="003A46BA"/>
    <w:rsid w:val="003A6C7B"/>
    <w:rsid w:val="003B1558"/>
    <w:rsid w:val="003B1B53"/>
    <w:rsid w:val="003C343E"/>
    <w:rsid w:val="003D6111"/>
    <w:rsid w:val="0040655A"/>
    <w:rsid w:val="0042363D"/>
    <w:rsid w:val="004411B9"/>
    <w:rsid w:val="00444A73"/>
    <w:rsid w:val="00467C30"/>
    <w:rsid w:val="00471A09"/>
    <w:rsid w:val="004A47D7"/>
    <w:rsid w:val="004C6DC8"/>
    <w:rsid w:val="004D25BC"/>
    <w:rsid w:val="00500831"/>
    <w:rsid w:val="005034F6"/>
    <w:rsid w:val="00504CC0"/>
    <w:rsid w:val="005063FA"/>
    <w:rsid w:val="00511276"/>
    <w:rsid w:val="0053505E"/>
    <w:rsid w:val="00536FA7"/>
    <w:rsid w:val="00540506"/>
    <w:rsid w:val="005405E7"/>
    <w:rsid w:val="0055163A"/>
    <w:rsid w:val="00561D4F"/>
    <w:rsid w:val="00576024"/>
    <w:rsid w:val="005A13F0"/>
    <w:rsid w:val="005A764C"/>
    <w:rsid w:val="005B7AD4"/>
    <w:rsid w:val="005E2556"/>
    <w:rsid w:val="005E5592"/>
    <w:rsid w:val="005E6C95"/>
    <w:rsid w:val="00615A62"/>
    <w:rsid w:val="00627652"/>
    <w:rsid w:val="006346E3"/>
    <w:rsid w:val="00646A92"/>
    <w:rsid w:val="00686BFF"/>
    <w:rsid w:val="006F3433"/>
    <w:rsid w:val="007010DA"/>
    <w:rsid w:val="0073754D"/>
    <w:rsid w:val="00746EF8"/>
    <w:rsid w:val="00770AEA"/>
    <w:rsid w:val="00772339"/>
    <w:rsid w:val="00781EF0"/>
    <w:rsid w:val="0078713C"/>
    <w:rsid w:val="007A1895"/>
    <w:rsid w:val="007F385A"/>
    <w:rsid w:val="00802A69"/>
    <w:rsid w:val="00827391"/>
    <w:rsid w:val="00840BCF"/>
    <w:rsid w:val="00890560"/>
    <w:rsid w:val="00895510"/>
    <w:rsid w:val="008C0BFD"/>
    <w:rsid w:val="008C6DEC"/>
    <w:rsid w:val="008D072E"/>
    <w:rsid w:val="008E0973"/>
    <w:rsid w:val="0090348E"/>
    <w:rsid w:val="009054E3"/>
    <w:rsid w:val="00922C25"/>
    <w:rsid w:val="0094518E"/>
    <w:rsid w:val="00950B28"/>
    <w:rsid w:val="00975591"/>
    <w:rsid w:val="00982348"/>
    <w:rsid w:val="00991D66"/>
    <w:rsid w:val="009D0A5C"/>
    <w:rsid w:val="009E23C4"/>
    <w:rsid w:val="00A42B4B"/>
    <w:rsid w:val="00A44C5F"/>
    <w:rsid w:val="00A45DE2"/>
    <w:rsid w:val="00A64F6B"/>
    <w:rsid w:val="00A8290C"/>
    <w:rsid w:val="00A93B0A"/>
    <w:rsid w:val="00AF0860"/>
    <w:rsid w:val="00AF49C2"/>
    <w:rsid w:val="00B11A72"/>
    <w:rsid w:val="00B237EF"/>
    <w:rsid w:val="00B528C7"/>
    <w:rsid w:val="00B56A7A"/>
    <w:rsid w:val="00BB14C5"/>
    <w:rsid w:val="00BC65A6"/>
    <w:rsid w:val="00BD4B84"/>
    <w:rsid w:val="00BF1D44"/>
    <w:rsid w:val="00C03AAF"/>
    <w:rsid w:val="00C522F8"/>
    <w:rsid w:val="00C6090D"/>
    <w:rsid w:val="00CA26B9"/>
    <w:rsid w:val="00CA30D1"/>
    <w:rsid w:val="00CA3779"/>
    <w:rsid w:val="00CA5740"/>
    <w:rsid w:val="00CB11E8"/>
    <w:rsid w:val="00CE1EAF"/>
    <w:rsid w:val="00CE6DEC"/>
    <w:rsid w:val="00D018D1"/>
    <w:rsid w:val="00D0627E"/>
    <w:rsid w:val="00D14497"/>
    <w:rsid w:val="00D15242"/>
    <w:rsid w:val="00D15B4B"/>
    <w:rsid w:val="00D231DE"/>
    <w:rsid w:val="00D45003"/>
    <w:rsid w:val="00D472E8"/>
    <w:rsid w:val="00D81812"/>
    <w:rsid w:val="00DB331C"/>
    <w:rsid w:val="00E31378"/>
    <w:rsid w:val="00E31AD9"/>
    <w:rsid w:val="00E31F19"/>
    <w:rsid w:val="00E50CE3"/>
    <w:rsid w:val="00E604B4"/>
    <w:rsid w:val="00E85088"/>
    <w:rsid w:val="00E955D0"/>
    <w:rsid w:val="00EA0C5A"/>
    <w:rsid w:val="00EA3436"/>
    <w:rsid w:val="00ED5967"/>
    <w:rsid w:val="00EE4CB8"/>
    <w:rsid w:val="00F001C9"/>
    <w:rsid w:val="00F0327C"/>
    <w:rsid w:val="00F14762"/>
    <w:rsid w:val="00F84966"/>
    <w:rsid w:val="00FB73FC"/>
    <w:rsid w:val="00FD6564"/>
    <w:rsid w:val="00FE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D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63324"/>
    <w:pPr>
      <w:keepNext/>
      <w:widowControl w:val="0"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5D0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95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5D0"/>
    <w:rPr>
      <w:rFonts w:eastAsiaTheme="minorEastAsia"/>
      <w:sz w:val="24"/>
      <w:szCs w:val="24"/>
      <w:lang w:val="es-ES_tradnl" w:eastAsia="es-ES"/>
    </w:rPr>
  </w:style>
  <w:style w:type="paragraph" w:customStyle="1" w:styleId="Body">
    <w:name w:val="Body"/>
    <w:rsid w:val="00E955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A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A5C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ED5967"/>
    <w:rPr>
      <w:color w:val="0000FF"/>
      <w:u w:val="single"/>
    </w:rPr>
  </w:style>
  <w:style w:type="paragraph" w:customStyle="1" w:styleId="Texto">
    <w:name w:val="Texto"/>
    <w:basedOn w:val="Normal"/>
    <w:link w:val="TextoCar"/>
    <w:rsid w:val="00ED596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ED5967"/>
    <w:rPr>
      <w:rFonts w:ascii="Arial" w:eastAsia="Times New Roman" w:hAnsi="Arial" w:cs="Arial"/>
      <w:sz w:val="1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D5967"/>
    <w:pPr>
      <w:ind w:left="720"/>
      <w:contextualSpacing/>
    </w:pPr>
  </w:style>
  <w:style w:type="paragraph" w:styleId="Sinespaciado">
    <w:name w:val="No Spacing"/>
    <w:uiPriority w:val="1"/>
    <w:qFormat/>
    <w:rsid w:val="00ED596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50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5B9BD5" w:themeColor="accent1"/>
      <w:sz w:val="22"/>
      <w:szCs w:val="22"/>
      <w:lang w:val="es-MX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5088"/>
    <w:rPr>
      <w:i/>
      <w:iCs/>
      <w:color w:val="5B9BD5" w:themeColor="accent1"/>
      <w:lang w:val="es-MX"/>
    </w:rPr>
  </w:style>
  <w:style w:type="paragraph" w:customStyle="1" w:styleId="Default">
    <w:name w:val="Default"/>
    <w:rsid w:val="00CE1EA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063324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A0C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0C5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0C5A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C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C5A"/>
    <w:rPr>
      <w:rFonts w:eastAsiaTheme="minorEastAsia"/>
      <w:b/>
      <w:bCs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32A3C-5957-4FAE-A5DD-4FD3C354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1350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Manzanilla Velázquez</dc:creator>
  <cp:lastModifiedBy>YOLANDA SANCHEZ RAMOS</cp:lastModifiedBy>
  <cp:revision>5</cp:revision>
  <cp:lastPrinted>2019-07-16T18:26:00Z</cp:lastPrinted>
  <dcterms:created xsi:type="dcterms:W3CDTF">2020-10-28T16:09:00Z</dcterms:created>
  <dcterms:modified xsi:type="dcterms:W3CDTF">2020-10-28T16:52:00Z</dcterms:modified>
</cp:coreProperties>
</file>