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21" w:rsidRPr="000F5821" w:rsidRDefault="00883535" w:rsidP="000F5821">
      <w:pPr>
        <w:spacing w:line="276" w:lineRule="auto"/>
        <w:jc w:val="center"/>
        <w:rPr>
          <w:rFonts w:ascii="Arial" w:eastAsiaTheme="minorHAnsi" w:hAnsi="Arial" w:cs="Arial"/>
          <w:b/>
          <w:smallCaps/>
          <w:sz w:val="18"/>
          <w:szCs w:val="18"/>
          <w:lang w:val="es-MX" w:eastAsia="en-US"/>
        </w:rPr>
      </w:pPr>
      <w:r>
        <w:rPr>
          <w:rFonts w:ascii="Arial" w:eastAsiaTheme="minorHAnsi" w:hAnsi="Arial" w:cs="Arial"/>
          <w:b/>
          <w:smallCaps/>
          <w:sz w:val="18"/>
          <w:szCs w:val="18"/>
          <w:lang w:val="es-MX" w:eastAsia="en-US"/>
        </w:rPr>
        <w:t>Premio Estatal</w:t>
      </w:r>
      <w:r w:rsidR="002E7024">
        <w:rPr>
          <w:rFonts w:ascii="Arial" w:eastAsiaTheme="minorHAnsi" w:hAnsi="Arial" w:cs="Arial"/>
          <w:b/>
          <w:smallCaps/>
          <w:sz w:val="18"/>
          <w:szCs w:val="18"/>
          <w:lang w:val="es-MX" w:eastAsia="en-US"/>
        </w:rPr>
        <w:t xml:space="preserve"> de la Juventud 2021</w:t>
      </w:r>
      <w:r w:rsidR="00B41AF4">
        <w:rPr>
          <w:rFonts w:ascii="Arial" w:eastAsiaTheme="minorHAnsi" w:hAnsi="Arial" w:cs="Arial"/>
          <w:b/>
          <w:smallCaps/>
          <w:sz w:val="18"/>
          <w:szCs w:val="18"/>
          <w:lang w:val="es-MX" w:eastAsia="en-US"/>
        </w:rPr>
        <w:t>.</w:t>
      </w:r>
    </w:p>
    <w:p w:rsidR="000F5821" w:rsidRPr="000F5821" w:rsidRDefault="000F5821" w:rsidP="000F5821">
      <w:pPr>
        <w:spacing w:line="276" w:lineRule="auto"/>
        <w:jc w:val="center"/>
        <w:rPr>
          <w:rFonts w:ascii="Arial" w:eastAsiaTheme="minorHAnsi" w:hAnsi="Arial" w:cs="Arial"/>
          <w:smallCaps/>
          <w:sz w:val="18"/>
          <w:szCs w:val="18"/>
          <w:lang w:val="es-MX" w:eastAsia="en-US"/>
        </w:rPr>
      </w:pPr>
      <w:r w:rsidRPr="000F5821">
        <w:rPr>
          <w:rFonts w:ascii="Arial" w:eastAsiaTheme="minorHAnsi" w:hAnsi="Arial" w:cs="Arial"/>
          <w:smallCaps/>
          <w:sz w:val="18"/>
          <w:szCs w:val="18"/>
          <w:lang w:val="es-MX" w:eastAsia="en-US"/>
        </w:rPr>
        <w:t>Notas Ortográficas</w:t>
      </w:r>
    </w:p>
    <w:p w:rsidR="000F5821" w:rsidRPr="000F5821" w:rsidRDefault="000F5821" w:rsidP="000F5821">
      <w:pPr>
        <w:spacing w:line="276" w:lineRule="auto"/>
        <w:rPr>
          <w:rFonts w:ascii="Arial" w:eastAsiaTheme="minorHAnsi" w:hAnsi="Arial" w:cs="Arial"/>
          <w:sz w:val="18"/>
          <w:szCs w:val="18"/>
          <w:lang w:val="es-MX" w:eastAsia="en-US"/>
        </w:rPr>
      </w:pPr>
      <w:bookmarkStart w:id="0" w:name="_GoBack"/>
    </w:p>
    <w:bookmarkEnd w:id="0"/>
    <w:p w:rsidR="000F5821" w:rsidRPr="000F5821" w:rsidRDefault="000F5821" w:rsidP="000F5821">
      <w:pPr>
        <w:spacing w:line="276" w:lineRule="auto"/>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Estas notas, breves, son en calidad de apoyo para la redac</w:t>
      </w:r>
      <w:r w:rsidR="00BE3B5D">
        <w:rPr>
          <w:rFonts w:ascii="Arial" w:eastAsiaTheme="minorHAnsi" w:hAnsi="Arial" w:cs="Arial"/>
          <w:sz w:val="18"/>
          <w:szCs w:val="18"/>
          <w:lang w:val="es-MX" w:eastAsia="en-US"/>
        </w:rPr>
        <w:t>ción del currículum vítae y mejorar las</w:t>
      </w:r>
      <w:r w:rsidRPr="000F5821">
        <w:rPr>
          <w:rFonts w:ascii="Arial" w:eastAsiaTheme="minorHAnsi" w:hAnsi="Arial" w:cs="Arial"/>
          <w:sz w:val="18"/>
          <w:szCs w:val="18"/>
          <w:lang w:val="es-MX" w:eastAsia="en-US"/>
        </w:rPr>
        <w:t xml:space="preserve"> referencias: El Colegio de México, A. C. Diccionario del español de México: </w:t>
      </w:r>
      <w:proofErr w:type="gramStart"/>
      <w:r w:rsidRPr="000F5821">
        <w:rPr>
          <w:rFonts w:ascii="Arial" w:eastAsiaTheme="minorHAnsi" w:hAnsi="Arial" w:cs="Arial"/>
          <w:sz w:val="18"/>
          <w:szCs w:val="18"/>
          <w:lang w:val="es-MX" w:eastAsia="en-US"/>
        </w:rPr>
        <w:t>www.dem.colmex.mx  (</w:t>
      </w:r>
      <w:proofErr w:type="gramEnd"/>
      <w:r w:rsidRPr="000F5821">
        <w:rPr>
          <w:rFonts w:ascii="Arial" w:eastAsiaTheme="minorHAnsi" w:hAnsi="Arial" w:cs="Arial"/>
          <w:sz w:val="18"/>
          <w:szCs w:val="18"/>
          <w:lang w:val="es-MX" w:eastAsia="en-US"/>
        </w:rPr>
        <w:t>Universidad Nacional Autónoma de México: www.corpus.unam.mx/cemc); y, Gramática de la Lengua Española.</w:t>
      </w:r>
    </w:p>
    <w:p w:rsidR="000F5821" w:rsidRPr="000F5821" w:rsidRDefault="000F5821" w:rsidP="000F5821">
      <w:pPr>
        <w:spacing w:line="276" w:lineRule="auto"/>
        <w:jc w:val="both"/>
        <w:rPr>
          <w:rFonts w:ascii="Arial" w:eastAsiaTheme="minorHAnsi" w:hAnsi="Arial" w:cs="Arial"/>
          <w:b/>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Nombres escritos en otro idioma</w:t>
      </w:r>
    </w:p>
    <w:p w:rsidR="000F5821" w:rsidRPr="000F5821" w:rsidRDefault="000F5821" w:rsidP="000F5821">
      <w:pPr>
        <w:spacing w:line="276" w:lineRule="auto"/>
        <w:jc w:val="both"/>
        <w:rPr>
          <w:rFonts w:ascii="Arial" w:eastAsiaTheme="minorHAnsi" w:hAnsi="Arial" w:cs="Arial"/>
          <w:color w:val="3C3C3C"/>
          <w:sz w:val="18"/>
          <w:szCs w:val="18"/>
          <w:lang w:val="es-MX" w:eastAsia="en-US"/>
        </w:rPr>
      </w:pPr>
      <w:r w:rsidRPr="000F5821">
        <w:rPr>
          <w:rFonts w:ascii="Arial" w:eastAsiaTheme="minorHAnsi" w:hAnsi="Arial" w:cs="Arial"/>
          <w:color w:val="3C3C3C"/>
          <w:sz w:val="18"/>
          <w:szCs w:val="18"/>
          <w:lang w:val="es-MX" w:eastAsia="en-US"/>
        </w:rPr>
        <w:t>En caso de no haber sido adaptados al idioma español, se escribirán en cursiva, por ejemplo:</w:t>
      </w:r>
      <w:r w:rsidRPr="000F5821">
        <w:rPr>
          <w:rFonts w:ascii="Arial" w:eastAsiaTheme="minorHAnsi" w:hAnsi="Arial" w:cs="Arial"/>
          <w:i/>
          <w:color w:val="3C3C3C"/>
          <w:sz w:val="18"/>
          <w:szCs w:val="18"/>
          <w:lang w:val="es-MX" w:eastAsia="en-US"/>
        </w:rPr>
        <w:t xml:space="preserve"> presídium, etc., </w:t>
      </w:r>
      <w:r w:rsidRPr="000F5821">
        <w:rPr>
          <w:rFonts w:ascii="Arial" w:eastAsiaTheme="minorHAnsi" w:hAnsi="Arial" w:cs="Arial"/>
          <w:color w:val="3C3C3C"/>
          <w:sz w:val="18"/>
          <w:szCs w:val="18"/>
          <w:lang w:val="es-MX" w:eastAsia="en-US"/>
        </w:rPr>
        <w:t xml:space="preserve">(sin acentuar </w:t>
      </w:r>
      <w:r w:rsidRPr="000F5821">
        <w:rPr>
          <w:rFonts w:ascii="Arial" w:eastAsiaTheme="minorHAnsi" w:hAnsi="Arial" w:cs="Arial"/>
          <w:i/>
          <w:color w:val="3C3C3C"/>
          <w:sz w:val="18"/>
          <w:szCs w:val="18"/>
          <w:lang w:val="es-MX" w:eastAsia="en-US"/>
        </w:rPr>
        <w:t>presídium</w:t>
      </w:r>
      <w:r w:rsidRPr="000F5821">
        <w:rPr>
          <w:rFonts w:ascii="Arial" w:eastAsiaTheme="minorHAnsi" w:hAnsi="Arial" w:cs="Arial"/>
          <w:color w:val="3C3C3C"/>
          <w:sz w:val="18"/>
          <w:szCs w:val="18"/>
          <w:lang w:val="es-MX" w:eastAsia="en-US"/>
        </w:rPr>
        <w:t>).</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Títulos de Obras de Creadores</w:t>
      </w: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Libros, documentales, esculturas, películas, programas de televisión, cuadros, programas radiofónicos o televisivos se escriben en cursiva y con inicial mayúscula únicamente y los nombres propios si el título de la obra lo incluye, ejemplo: </w:t>
      </w:r>
      <w:r w:rsidRPr="000F5821">
        <w:rPr>
          <w:rFonts w:ascii="Arial" w:eastAsiaTheme="minorHAnsi" w:hAnsi="Arial" w:cs="Arial"/>
          <w:i/>
          <w:sz w:val="18"/>
          <w:szCs w:val="18"/>
          <w:lang w:val="es-MX" w:eastAsia="en-US"/>
        </w:rPr>
        <w:t>La muerte de Artemio Cruz</w:t>
      </w:r>
      <w:r w:rsidRPr="000F5821">
        <w:rPr>
          <w:rFonts w:ascii="Arial" w:eastAsiaTheme="minorHAnsi" w:hAnsi="Arial" w:cs="Arial"/>
          <w:sz w:val="18"/>
          <w:szCs w:val="18"/>
          <w:lang w:val="es-MX" w:eastAsia="en-US"/>
        </w:rPr>
        <w:t xml:space="preserve"> (Carlos Fuentes Macías); </w:t>
      </w:r>
      <w:r w:rsidRPr="000F5821">
        <w:rPr>
          <w:rFonts w:ascii="Arial" w:eastAsiaTheme="minorHAnsi" w:hAnsi="Arial" w:cs="Arial"/>
          <w:i/>
          <w:sz w:val="18"/>
          <w:szCs w:val="18"/>
          <w:lang w:val="es-MX" w:eastAsia="en-US"/>
        </w:rPr>
        <w:t xml:space="preserve">Cien años de soledad, </w:t>
      </w:r>
      <w:r w:rsidRPr="000F5821">
        <w:rPr>
          <w:rFonts w:ascii="Arial" w:eastAsiaTheme="minorHAnsi" w:hAnsi="Arial" w:cs="Arial"/>
          <w:sz w:val="18"/>
          <w:szCs w:val="18"/>
          <w:lang w:val="es-MX" w:eastAsia="en-US"/>
        </w:rPr>
        <w:t>o bien,</w:t>
      </w:r>
      <w:r w:rsidRPr="000F5821">
        <w:rPr>
          <w:rFonts w:ascii="Arial" w:eastAsiaTheme="minorHAnsi" w:hAnsi="Arial" w:cs="Arial"/>
          <w:i/>
          <w:sz w:val="18"/>
          <w:szCs w:val="18"/>
          <w:lang w:val="es-MX" w:eastAsia="en-US"/>
        </w:rPr>
        <w:t xml:space="preserve"> Te regalaré la novela “Cien años de Soledad” </w:t>
      </w:r>
      <w:r w:rsidRPr="000F5821">
        <w:rPr>
          <w:rFonts w:ascii="Arial" w:eastAsiaTheme="minorHAnsi" w:hAnsi="Arial" w:cs="Arial"/>
          <w:sz w:val="18"/>
          <w:szCs w:val="18"/>
          <w:lang w:val="es-MX" w:eastAsia="en-US"/>
        </w:rPr>
        <w:t>(Gabriel José de la Concordia García Márquez);</w:t>
      </w:r>
      <w:r w:rsidRPr="000F5821">
        <w:rPr>
          <w:rFonts w:ascii="Arial" w:eastAsiaTheme="minorHAnsi" w:hAnsi="Arial" w:cs="Arial"/>
          <w:i/>
          <w:sz w:val="18"/>
          <w:szCs w:val="18"/>
          <w:lang w:val="es-MX" w:eastAsia="en-US"/>
        </w:rPr>
        <w:t xml:space="preserve"> El universo de Stephen Hawking (</w:t>
      </w:r>
      <w:r w:rsidRPr="000F5821">
        <w:rPr>
          <w:rFonts w:ascii="Arial" w:eastAsiaTheme="minorHAnsi" w:hAnsi="Arial" w:cs="Arial"/>
          <w:sz w:val="18"/>
          <w:szCs w:val="18"/>
          <w:lang w:val="es-MX" w:eastAsia="en-US"/>
        </w:rPr>
        <w:t>Stephen William Hawking)</w:t>
      </w:r>
      <w:r w:rsidRPr="000F5821">
        <w:rPr>
          <w:rFonts w:ascii="Arial" w:eastAsiaTheme="minorHAnsi" w:hAnsi="Arial" w:cs="Arial"/>
          <w:i/>
          <w:sz w:val="18"/>
          <w:szCs w:val="18"/>
          <w:lang w:val="es-MX" w:eastAsia="en-US"/>
        </w:rPr>
        <w:t xml:space="preserve">, </w:t>
      </w:r>
      <w:r w:rsidRPr="000F5821">
        <w:rPr>
          <w:rFonts w:ascii="Arial" w:eastAsiaTheme="minorHAnsi" w:hAnsi="Arial" w:cs="Arial"/>
          <w:sz w:val="18"/>
          <w:szCs w:val="18"/>
          <w:lang w:val="es-MX" w:eastAsia="en-US"/>
        </w:rPr>
        <w:t>etc.</w:t>
      </w:r>
      <w:r w:rsidRPr="000F5821">
        <w:rPr>
          <w:rFonts w:ascii="Arial" w:eastAsiaTheme="minorHAnsi" w:hAnsi="Arial" w:cs="Arial"/>
          <w:i/>
          <w:sz w:val="18"/>
          <w:szCs w:val="18"/>
          <w:lang w:val="es-MX" w:eastAsia="en-US"/>
        </w:rPr>
        <w:t xml:space="preserve">  </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Los títulos de obras originales escritas en otro idioma, puede respetarse la forma original en que fueron escritos, ejemplo: </w:t>
      </w:r>
      <w:proofErr w:type="spellStart"/>
      <w:r w:rsidRPr="000F5821">
        <w:rPr>
          <w:rFonts w:ascii="Arial" w:eastAsiaTheme="minorHAnsi" w:hAnsi="Arial" w:cs="Arial"/>
          <w:i/>
          <w:sz w:val="18"/>
          <w:szCs w:val="18"/>
          <w:lang w:val="es-MX" w:eastAsia="en-US"/>
        </w:rPr>
        <w:t>The</w:t>
      </w:r>
      <w:proofErr w:type="spellEnd"/>
      <w:r w:rsidRPr="000F5821">
        <w:rPr>
          <w:rFonts w:ascii="Arial" w:eastAsiaTheme="minorHAnsi" w:hAnsi="Arial" w:cs="Arial"/>
          <w:i/>
          <w:sz w:val="18"/>
          <w:szCs w:val="18"/>
          <w:lang w:val="es-MX" w:eastAsia="en-US"/>
        </w:rPr>
        <w:t xml:space="preserve"> Prince and </w:t>
      </w:r>
      <w:proofErr w:type="spellStart"/>
      <w:r w:rsidRPr="000F5821">
        <w:rPr>
          <w:rFonts w:ascii="Arial" w:eastAsiaTheme="minorHAnsi" w:hAnsi="Arial" w:cs="Arial"/>
          <w:i/>
          <w:sz w:val="18"/>
          <w:szCs w:val="18"/>
          <w:lang w:val="es-MX" w:eastAsia="en-US"/>
        </w:rPr>
        <w:t>the</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Pauper</w:t>
      </w:r>
      <w:proofErr w:type="spellEnd"/>
      <w:r w:rsidRPr="000F5821">
        <w:rPr>
          <w:rFonts w:ascii="Arial" w:eastAsiaTheme="minorHAnsi" w:hAnsi="Arial" w:cs="Arial"/>
          <w:sz w:val="18"/>
          <w:szCs w:val="18"/>
          <w:lang w:val="es-MX" w:eastAsia="en-US"/>
        </w:rPr>
        <w:t xml:space="preserve">, sin embargo, es también correcto en la traducción aplicar la norma del idioma español: </w:t>
      </w:r>
      <w:r w:rsidRPr="000F5821">
        <w:rPr>
          <w:rFonts w:ascii="Arial" w:eastAsiaTheme="minorHAnsi" w:hAnsi="Arial" w:cs="Arial"/>
          <w:i/>
          <w:sz w:val="18"/>
          <w:szCs w:val="18"/>
          <w:lang w:val="es-MX" w:eastAsia="en-US"/>
        </w:rPr>
        <w:t>El príncipe y el mendigo</w:t>
      </w:r>
      <w:r w:rsidRPr="000F5821">
        <w:rPr>
          <w:rFonts w:ascii="Arial" w:eastAsiaTheme="minorHAnsi" w:hAnsi="Arial" w:cs="Arial"/>
          <w:sz w:val="18"/>
          <w:szCs w:val="18"/>
          <w:lang w:val="es-MX" w:eastAsia="en-US"/>
        </w:rPr>
        <w:t>.</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Obras científicas, con letra inicial mayúscula y de la manera en que se publicaron: </w:t>
      </w:r>
      <w:r w:rsidRPr="000F5821">
        <w:rPr>
          <w:rFonts w:ascii="Arial" w:eastAsiaTheme="minorHAnsi" w:hAnsi="Arial" w:cs="Arial"/>
          <w:i/>
          <w:sz w:val="18"/>
          <w:szCs w:val="18"/>
          <w:lang w:val="es-MX" w:eastAsia="en-US"/>
        </w:rPr>
        <w:t xml:space="preserve">A </w:t>
      </w:r>
      <w:proofErr w:type="spellStart"/>
      <w:r w:rsidRPr="000F5821">
        <w:rPr>
          <w:rFonts w:ascii="Arial" w:eastAsiaTheme="minorHAnsi" w:hAnsi="Arial" w:cs="Arial"/>
          <w:i/>
          <w:sz w:val="18"/>
          <w:szCs w:val="18"/>
          <w:lang w:val="es-MX" w:eastAsia="en-US"/>
        </w:rPr>
        <w:t>Search</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for</w:t>
      </w:r>
      <w:proofErr w:type="spellEnd"/>
      <w:r w:rsidRPr="000F5821">
        <w:rPr>
          <w:rFonts w:ascii="Arial" w:eastAsiaTheme="minorHAnsi" w:hAnsi="Arial" w:cs="Arial"/>
          <w:i/>
          <w:sz w:val="18"/>
          <w:szCs w:val="18"/>
          <w:lang w:val="es-MX" w:eastAsia="en-US"/>
        </w:rPr>
        <w:t xml:space="preserve"> Muon Neutrino to </w:t>
      </w:r>
      <w:proofErr w:type="spellStart"/>
      <w:r w:rsidRPr="000F5821">
        <w:rPr>
          <w:rFonts w:ascii="Arial" w:eastAsiaTheme="minorHAnsi" w:hAnsi="Arial" w:cs="Arial"/>
          <w:i/>
          <w:sz w:val="18"/>
          <w:szCs w:val="18"/>
          <w:lang w:val="es-MX" w:eastAsia="en-US"/>
        </w:rPr>
        <w:t>Electron</w:t>
      </w:r>
      <w:proofErr w:type="spellEnd"/>
      <w:r w:rsidRPr="000F5821">
        <w:rPr>
          <w:rFonts w:ascii="Arial" w:eastAsiaTheme="minorHAnsi" w:hAnsi="Arial" w:cs="Arial"/>
          <w:i/>
          <w:sz w:val="18"/>
          <w:szCs w:val="18"/>
          <w:lang w:val="es-MX" w:eastAsia="en-US"/>
        </w:rPr>
        <w:t xml:space="preserve"> Neutrino </w:t>
      </w:r>
      <w:proofErr w:type="spellStart"/>
      <w:r w:rsidRPr="000F5821">
        <w:rPr>
          <w:rFonts w:ascii="Arial" w:eastAsiaTheme="minorHAnsi" w:hAnsi="Arial" w:cs="Arial"/>
          <w:i/>
          <w:sz w:val="18"/>
          <w:szCs w:val="18"/>
          <w:lang w:val="es-MX" w:eastAsia="en-US"/>
        </w:rPr>
        <w:t>Oscillations</w:t>
      </w:r>
      <w:proofErr w:type="spellEnd"/>
      <w:r w:rsidRPr="000F5821">
        <w:rPr>
          <w:rFonts w:ascii="Arial" w:eastAsiaTheme="minorHAnsi" w:hAnsi="Arial" w:cs="Arial"/>
          <w:i/>
          <w:sz w:val="18"/>
          <w:szCs w:val="18"/>
          <w:lang w:val="es-MX" w:eastAsia="en-US"/>
        </w:rPr>
        <w:t xml:space="preserve"> in </w:t>
      </w:r>
      <w:proofErr w:type="spellStart"/>
      <w:r w:rsidRPr="000F5821">
        <w:rPr>
          <w:rFonts w:ascii="Arial" w:eastAsiaTheme="minorHAnsi" w:hAnsi="Arial" w:cs="Arial"/>
          <w:i/>
          <w:sz w:val="18"/>
          <w:szCs w:val="18"/>
          <w:lang w:val="es-MX" w:eastAsia="en-US"/>
        </w:rPr>
        <w:t>the</w:t>
      </w:r>
      <w:proofErr w:type="spellEnd"/>
      <w:r w:rsidRPr="000F5821">
        <w:rPr>
          <w:rFonts w:ascii="Arial" w:eastAsiaTheme="minorHAnsi" w:hAnsi="Arial" w:cs="Arial"/>
          <w:i/>
          <w:sz w:val="18"/>
          <w:szCs w:val="18"/>
          <w:lang w:val="es-MX" w:eastAsia="en-US"/>
        </w:rPr>
        <w:t xml:space="preserve"> MINOS </w:t>
      </w:r>
      <w:proofErr w:type="spellStart"/>
      <w:r w:rsidRPr="000F5821">
        <w:rPr>
          <w:rFonts w:ascii="Arial" w:eastAsiaTheme="minorHAnsi" w:hAnsi="Arial" w:cs="Arial"/>
          <w:i/>
          <w:sz w:val="18"/>
          <w:szCs w:val="18"/>
          <w:lang w:val="es-MX" w:eastAsia="en-US"/>
        </w:rPr>
        <w:t>Experiment</w:t>
      </w:r>
      <w:proofErr w:type="spellEnd"/>
      <w:r w:rsidRPr="000F5821">
        <w:rPr>
          <w:rFonts w:ascii="Arial" w:eastAsiaTheme="minorHAnsi" w:hAnsi="Arial" w:cs="Arial"/>
          <w:i/>
          <w:sz w:val="18"/>
          <w:szCs w:val="18"/>
          <w:lang w:val="es-MX" w:eastAsia="en-US"/>
        </w:rPr>
        <w:t xml:space="preserve"> </w:t>
      </w:r>
      <w:r w:rsidRPr="000F5821">
        <w:rPr>
          <w:rFonts w:ascii="Arial" w:eastAsiaTheme="minorHAnsi" w:hAnsi="Arial" w:cs="Arial"/>
          <w:sz w:val="18"/>
          <w:szCs w:val="18"/>
          <w:lang w:val="es-MX" w:eastAsia="en-US"/>
        </w:rPr>
        <w:t>(</w:t>
      </w:r>
      <w:proofErr w:type="spellStart"/>
      <w:r w:rsidRPr="000F5821">
        <w:rPr>
          <w:rFonts w:ascii="Arial" w:eastAsiaTheme="minorHAnsi" w:hAnsi="Arial" w:cs="Arial"/>
          <w:sz w:val="18"/>
          <w:szCs w:val="18"/>
          <w:lang w:val="es-MX" w:eastAsia="en-US"/>
        </w:rPr>
        <w:t>Springer</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Theses</w:t>
      </w:r>
      <w:proofErr w:type="spellEnd"/>
      <w:r w:rsidRPr="000F5821">
        <w:rPr>
          <w:rFonts w:ascii="Arial" w:eastAsiaTheme="minorHAnsi" w:hAnsi="Arial" w:cs="Arial"/>
          <w:sz w:val="18"/>
          <w:szCs w:val="18"/>
          <w:lang w:val="es-MX" w:eastAsia="en-US"/>
        </w:rPr>
        <w:t xml:space="preserve">).  </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La comunidad científica</w:t>
      </w:r>
      <w:r w:rsidR="00883535">
        <w:rPr>
          <w:rFonts w:ascii="Arial" w:eastAsiaTheme="minorHAnsi" w:hAnsi="Arial" w:cs="Arial"/>
          <w:sz w:val="18"/>
          <w:szCs w:val="18"/>
          <w:lang w:val="es-MX" w:eastAsia="en-US"/>
        </w:rPr>
        <w:t xml:space="preserve"> tiene un protocolo particular </w:t>
      </w:r>
      <w:r w:rsidRPr="000F5821">
        <w:rPr>
          <w:rFonts w:ascii="Arial" w:eastAsiaTheme="minorHAnsi" w:hAnsi="Arial" w:cs="Arial"/>
          <w:sz w:val="18"/>
          <w:szCs w:val="18"/>
          <w:lang w:val="es-MX" w:eastAsia="en-US"/>
        </w:rPr>
        <w:t xml:space="preserve">para comunicarse entre sus integrantes, por ejemplo: </w:t>
      </w:r>
      <w:proofErr w:type="spellStart"/>
      <w:r w:rsidRPr="000F5821">
        <w:rPr>
          <w:rFonts w:ascii="Arial" w:eastAsiaTheme="minorHAnsi" w:hAnsi="Arial" w:cs="Arial"/>
          <w:sz w:val="18"/>
          <w:szCs w:val="18"/>
          <w:lang w:val="es-MX" w:eastAsia="en-US"/>
        </w:rPr>
        <w:t>The</w:t>
      </w:r>
      <w:proofErr w:type="spellEnd"/>
      <w:r w:rsidRPr="000F5821">
        <w:rPr>
          <w:rFonts w:ascii="Arial" w:eastAsiaTheme="minorHAnsi" w:hAnsi="Arial" w:cs="Arial"/>
          <w:sz w:val="18"/>
          <w:szCs w:val="18"/>
          <w:lang w:val="es-MX" w:eastAsia="en-US"/>
        </w:rPr>
        <w:t xml:space="preserve"> Data </w:t>
      </w:r>
      <w:proofErr w:type="spellStart"/>
      <w:r w:rsidRPr="000F5821">
        <w:rPr>
          <w:rFonts w:ascii="Arial" w:eastAsiaTheme="minorHAnsi" w:hAnsi="Arial" w:cs="Arial"/>
          <w:sz w:val="18"/>
          <w:szCs w:val="18"/>
          <w:lang w:val="es-MX" w:eastAsia="en-US"/>
        </w:rPr>
        <w:t>Bay</w:t>
      </w:r>
      <w:proofErr w:type="spellEnd"/>
      <w:r w:rsidRPr="000F5821">
        <w:rPr>
          <w:rFonts w:ascii="Arial" w:eastAsiaTheme="minorHAnsi" w:hAnsi="Arial" w:cs="Arial"/>
          <w:sz w:val="18"/>
          <w:szCs w:val="18"/>
          <w:lang w:val="es-MX" w:eastAsia="en-US"/>
        </w:rPr>
        <w:t xml:space="preserve"> Neutrino </w:t>
      </w:r>
      <w:proofErr w:type="spellStart"/>
      <w:r w:rsidRPr="000F5821">
        <w:rPr>
          <w:rFonts w:ascii="Arial" w:eastAsiaTheme="minorHAnsi" w:hAnsi="Arial" w:cs="Arial"/>
          <w:sz w:val="18"/>
          <w:szCs w:val="18"/>
          <w:lang w:val="es-MX" w:eastAsia="en-US"/>
        </w:rPr>
        <w:t>Oscillation</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Experiment</w:t>
      </w:r>
      <w:proofErr w:type="spellEnd"/>
      <w:r w:rsidRPr="000F5821">
        <w:rPr>
          <w:rFonts w:ascii="Arial" w:eastAsiaTheme="minorHAnsi" w:hAnsi="Arial" w:cs="Arial"/>
          <w:sz w:val="18"/>
          <w:szCs w:val="18"/>
          <w:lang w:val="es-MX" w:eastAsia="en-US"/>
        </w:rPr>
        <w:t>, J.P. Ochoa-</w:t>
      </w:r>
      <w:proofErr w:type="spellStart"/>
      <w:r w:rsidRPr="000F5821">
        <w:rPr>
          <w:rFonts w:ascii="Arial" w:eastAsiaTheme="minorHAnsi" w:hAnsi="Arial" w:cs="Arial"/>
          <w:sz w:val="18"/>
          <w:szCs w:val="18"/>
          <w:lang w:val="es-MX" w:eastAsia="en-US"/>
        </w:rPr>
        <w:t>Ricoux</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for</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the</w:t>
      </w:r>
      <w:proofErr w:type="spellEnd"/>
      <w:r w:rsidRPr="000F5821">
        <w:rPr>
          <w:rFonts w:ascii="Arial" w:eastAsiaTheme="minorHAnsi" w:hAnsi="Arial" w:cs="Arial"/>
          <w:sz w:val="18"/>
          <w:szCs w:val="18"/>
          <w:lang w:val="es-MX" w:eastAsia="en-US"/>
        </w:rPr>
        <w:t xml:space="preserve"> Data </w:t>
      </w:r>
      <w:proofErr w:type="spellStart"/>
      <w:r w:rsidRPr="000F5821">
        <w:rPr>
          <w:rFonts w:ascii="Arial" w:eastAsiaTheme="minorHAnsi" w:hAnsi="Arial" w:cs="Arial"/>
          <w:sz w:val="18"/>
          <w:szCs w:val="18"/>
          <w:lang w:val="es-MX" w:eastAsia="en-US"/>
        </w:rPr>
        <w:t>Bay</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Collaboration</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Nucl</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Phys</w:t>
      </w:r>
      <w:proofErr w:type="spellEnd"/>
      <w:r w:rsidRPr="000F5821">
        <w:rPr>
          <w:rFonts w:ascii="Arial" w:eastAsiaTheme="minorHAnsi" w:hAnsi="Arial" w:cs="Arial"/>
          <w:sz w:val="18"/>
          <w:szCs w:val="18"/>
          <w:lang w:val="es-MX" w:eastAsia="en-US"/>
        </w:rPr>
        <w:t xml:space="preserve">. Pro. </w:t>
      </w:r>
      <w:proofErr w:type="spellStart"/>
      <w:r w:rsidRPr="000F5821">
        <w:rPr>
          <w:rFonts w:ascii="Arial" w:eastAsiaTheme="minorHAnsi" w:hAnsi="Arial" w:cs="Arial"/>
          <w:sz w:val="18"/>
          <w:szCs w:val="18"/>
          <w:lang w:val="es-MX" w:eastAsia="en-US"/>
        </w:rPr>
        <w:t>Suppl</w:t>
      </w:r>
      <w:proofErr w:type="spellEnd"/>
      <w:r w:rsidRPr="000F5821">
        <w:rPr>
          <w:rFonts w:ascii="Arial" w:eastAsiaTheme="minorHAnsi" w:hAnsi="Arial" w:cs="Arial"/>
          <w:sz w:val="18"/>
          <w:szCs w:val="18"/>
          <w:lang w:val="es-MX" w:eastAsia="en-US"/>
        </w:rPr>
        <w:t xml:space="preserve"> 217:140-142 (2011) (</w:t>
      </w:r>
      <w:proofErr w:type="spellStart"/>
      <w:r w:rsidRPr="000F5821">
        <w:rPr>
          <w:rFonts w:ascii="Arial" w:eastAsiaTheme="minorHAnsi" w:hAnsi="Arial" w:cs="Arial"/>
          <w:sz w:val="18"/>
          <w:szCs w:val="18"/>
          <w:lang w:val="es-MX" w:eastAsia="en-US"/>
        </w:rPr>
        <w:t>Proceedings</w:t>
      </w:r>
      <w:proofErr w:type="spellEnd"/>
      <w:r w:rsidRPr="000F5821">
        <w:rPr>
          <w:rFonts w:ascii="Arial" w:eastAsiaTheme="minorHAnsi" w:hAnsi="Arial" w:cs="Arial"/>
          <w:sz w:val="18"/>
          <w:szCs w:val="18"/>
          <w:lang w:val="es-MX" w:eastAsia="en-US"/>
        </w:rPr>
        <w:t>).</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 de una revista</w:t>
      </w: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Se escribirán de acuerdo a los usos y costumbres de las instituciones que las publican.  Ejemplos: Revista de Ciencia y Desarrollo (Consejo Nacional de Ciencia y Tecnología); Anales de Antropología (revista de la Universidad Nacional Autónoma de México); </w:t>
      </w:r>
      <w:proofErr w:type="spellStart"/>
      <w:r w:rsidRPr="000F5821">
        <w:rPr>
          <w:rFonts w:ascii="Arial" w:eastAsiaTheme="minorHAnsi" w:hAnsi="Arial" w:cs="Arial"/>
          <w:sz w:val="18"/>
          <w:szCs w:val="18"/>
          <w:lang w:val="es-MX" w:eastAsia="en-US"/>
        </w:rPr>
        <w:t>Nature</w:t>
      </w:r>
      <w:proofErr w:type="spellEnd"/>
      <w:r w:rsidRPr="000F5821">
        <w:rPr>
          <w:rFonts w:ascii="Arial" w:eastAsiaTheme="minorHAnsi" w:hAnsi="Arial" w:cs="Arial"/>
          <w:sz w:val="18"/>
          <w:szCs w:val="18"/>
          <w:lang w:val="es-MX" w:eastAsia="en-US"/>
        </w:rPr>
        <w:t>, etc. En ciertos casos se pueden presentar particularidades legítimas: ciencia Revista de la Academia Mexicana de Ciencias.</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Nombres de premios, distinciones y concursos.</w:t>
      </w:r>
    </w:p>
    <w:p w:rsidR="000F5821" w:rsidRPr="000F5821" w:rsidRDefault="000F5821" w:rsidP="000F5821">
      <w:pPr>
        <w:spacing w:line="276" w:lineRule="auto"/>
        <w:jc w:val="both"/>
        <w:rPr>
          <w:rFonts w:ascii="Arial" w:eastAsiaTheme="minorHAnsi" w:hAnsi="Arial" w:cs="Arial"/>
          <w:i/>
          <w:sz w:val="18"/>
          <w:szCs w:val="18"/>
          <w:lang w:val="en-US" w:eastAsia="en-US"/>
        </w:rPr>
      </w:pPr>
      <w:r w:rsidRPr="000F5821">
        <w:rPr>
          <w:rFonts w:ascii="Arial" w:eastAsiaTheme="minorHAnsi" w:hAnsi="Arial" w:cs="Arial"/>
          <w:sz w:val="18"/>
          <w:szCs w:val="18"/>
          <w:lang w:val="es-MX" w:eastAsia="en-US"/>
        </w:rPr>
        <w:t xml:space="preserve">Se escribirán siguiendo los usos y costumbres como aparecen publicados por las instituciones, sin embargo, se recomienda escribirlas con cursiva, ejemplos: </w:t>
      </w:r>
      <w:r w:rsidRPr="000F5821">
        <w:rPr>
          <w:rFonts w:ascii="Arial" w:eastAsiaTheme="minorHAnsi" w:hAnsi="Arial" w:cs="Arial"/>
          <w:i/>
          <w:sz w:val="18"/>
          <w:szCs w:val="18"/>
          <w:lang w:val="es-MX" w:eastAsia="en-US"/>
        </w:rPr>
        <w:t xml:space="preserve">Premios </w:t>
      </w:r>
      <w:proofErr w:type="spellStart"/>
      <w:r w:rsidRPr="000F5821">
        <w:rPr>
          <w:rFonts w:ascii="Arial" w:eastAsiaTheme="minorHAnsi" w:hAnsi="Arial" w:cs="Arial"/>
          <w:i/>
          <w:sz w:val="18"/>
          <w:szCs w:val="18"/>
          <w:lang w:val="es-MX" w:eastAsia="en-US"/>
        </w:rPr>
        <w:t>Weizmann</w:t>
      </w:r>
      <w:proofErr w:type="spellEnd"/>
      <w:r w:rsidRPr="000F5821">
        <w:rPr>
          <w:rFonts w:ascii="Arial" w:eastAsiaTheme="minorHAnsi" w:hAnsi="Arial" w:cs="Arial"/>
          <w:i/>
          <w:sz w:val="18"/>
          <w:szCs w:val="18"/>
          <w:lang w:val="es-MX" w:eastAsia="en-US"/>
        </w:rPr>
        <w:t xml:space="preserve"> 2012 </w:t>
      </w:r>
      <w:r w:rsidRPr="000F5821">
        <w:rPr>
          <w:rFonts w:ascii="Arial" w:eastAsiaTheme="minorHAnsi" w:hAnsi="Arial" w:cs="Arial"/>
          <w:sz w:val="18"/>
          <w:szCs w:val="18"/>
          <w:lang w:val="es-MX" w:eastAsia="en-US"/>
        </w:rPr>
        <w:t>(Academia Mexicana de Ciencias)</w:t>
      </w:r>
      <w:r w:rsidRPr="000F5821">
        <w:rPr>
          <w:rFonts w:ascii="Arial" w:eastAsiaTheme="minorHAnsi" w:hAnsi="Arial" w:cs="Arial"/>
          <w:i/>
          <w:sz w:val="18"/>
          <w:szCs w:val="18"/>
          <w:lang w:val="es-MX" w:eastAsia="en-US"/>
        </w:rPr>
        <w:t xml:space="preserve">; Premio Luis Elizondo al Sentido Humano </w:t>
      </w:r>
      <w:r w:rsidRPr="000F5821">
        <w:rPr>
          <w:rFonts w:ascii="Arial" w:eastAsiaTheme="minorHAnsi" w:hAnsi="Arial" w:cs="Arial"/>
          <w:sz w:val="18"/>
          <w:szCs w:val="18"/>
          <w:lang w:val="es-MX" w:eastAsia="en-US"/>
        </w:rPr>
        <w:t>(Sistema Tecnológico de Monterrey);</w:t>
      </w:r>
      <w:r w:rsidRPr="000F5821">
        <w:rPr>
          <w:rFonts w:ascii="Arial" w:eastAsiaTheme="minorHAnsi" w:hAnsi="Arial" w:cs="Arial"/>
          <w:i/>
          <w:sz w:val="18"/>
          <w:szCs w:val="18"/>
          <w:lang w:val="es-MX" w:eastAsia="en-US"/>
        </w:rPr>
        <w:t xml:space="preserve"> Medalla Gabino Barreda </w:t>
      </w:r>
      <w:r w:rsidRPr="000F5821">
        <w:rPr>
          <w:rFonts w:ascii="Arial" w:eastAsiaTheme="minorHAnsi" w:hAnsi="Arial" w:cs="Arial"/>
          <w:sz w:val="18"/>
          <w:szCs w:val="18"/>
          <w:lang w:val="es-MX" w:eastAsia="en-US"/>
        </w:rPr>
        <w:t>(Universidad Nacional Autónoma de México);</w:t>
      </w:r>
      <w:r w:rsidRPr="000F5821">
        <w:rPr>
          <w:rFonts w:ascii="Arial" w:eastAsiaTheme="minorHAnsi" w:hAnsi="Arial" w:cs="Arial"/>
          <w:i/>
          <w:sz w:val="18"/>
          <w:szCs w:val="18"/>
          <w:lang w:val="es-MX" w:eastAsia="en-US"/>
        </w:rPr>
        <w:t xml:space="preserve"> Presea Lázaro Cárdenas </w:t>
      </w:r>
      <w:r w:rsidRPr="000F5821">
        <w:rPr>
          <w:rFonts w:ascii="Arial" w:eastAsiaTheme="minorHAnsi" w:hAnsi="Arial" w:cs="Arial"/>
          <w:sz w:val="18"/>
          <w:szCs w:val="18"/>
          <w:lang w:val="es-MX" w:eastAsia="en-US"/>
        </w:rPr>
        <w:t>(Instituto Politécnico Nacional);</w:t>
      </w:r>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Springer</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Theses</w:t>
      </w:r>
      <w:proofErr w:type="spellEnd"/>
      <w:r w:rsidRPr="000F5821">
        <w:rPr>
          <w:rFonts w:ascii="Arial" w:eastAsiaTheme="minorHAnsi" w:hAnsi="Arial" w:cs="Arial"/>
          <w:i/>
          <w:sz w:val="18"/>
          <w:szCs w:val="18"/>
          <w:lang w:val="es-MX" w:eastAsia="en-US"/>
        </w:rPr>
        <w:t xml:space="preserve">. </w:t>
      </w:r>
      <w:r w:rsidRPr="000F5821">
        <w:rPr>
          <w:rFonts w:ascii="Arial" w:eastAsiaTheme="minorHAnsi" w:hAnsi="Arial" w:cs="Arial"/>
          <w:i/>
          <w:sz w:val="18"/>
          <w:szCs w:val="18"/>
          <w:lang w:val="en-US" w:eastAsia="en-US"/>
        </w:rPr>
        <w:t xml:space="preserve">The Best of the Best </w:t>
      </w:r>
      <w:r w:rsidRPr="000F5821">
        <w:rPr>
          <w:rFonts w:ascii="Arial" w:eastAsiaTheme="minorHAnsi" w:hAnsi="Arial" w:cs="Arial"/>
          <w:sz w:val="18"/>
          <w:szCs w:val="18"/>
          <w:lang w:val="en-US" w:eastAsia="en-US"/>
        </w:rPr>
        <w:t>([</w:t>
      </w:r>
      <w:r w:rsidRPr="000F5821">
        <w:rPr>
          <w:rFonts w:ascii="Arial" w:eastAsiaTheme="minorHAnsi" w:hAnsi="Arial" w:cs="Arial"/>
          <w:i/>
          <w:sz w:val="18"/>
          <w:szCs w:val="18"/>
          <w:lang w:val="en-US" w:eastAsia="en-US"/>
        </w:rPr>
        <w:t>Award</w:t>
      </w:r>
      <w:r w:rsidRPr="000F5821">
        <w:rPr>
          <w:rFonts w:ascii="Arial" w:eastAsiaTheme="minorHAnsi" w:hAnsi="Arial" w:cs="Arial"/>
          <w:sz w:val="18"/>
          <w:szCs w:val="18"/>
          <w:lang w:val="en-US" w:eastAsia="en-US"/>
        </w:rPr>
        <w:t xml:space="preserve"> – Springer Publishing Germany);</w:t>
      </w:r>
      <w:r w:rsidRPr="000F5821">
        <w:rPr>
          <w:rFonts w:ascii="Arial" w:eastAsiaTheme="minorHAnsi" w:hAnsi="Arial" w:cs="Arial"/>
          <w:i/>
          <w:sz w:val="18"/>
          <w:szCs w:val="18"/>
          <w:lang w:val="en-US" w:eastAsia="en-US"/>
        </w:rPr>
        <w:t xml:space="preserve"> </w:t>
      </w:r>
      <w:proofErr w:type="spellStart"/>
      <w:r w:rsidRPr="000F5821">
        <w:rPr>
          <w:rFonts w:ascii="Arial" w:eastAsiaTheme="minorHAnsi" w:hAnsi="Arial" w:cs="Arial"/>
          <w:i/>
          <w:sz w:val="18"/>
          <w:szCs w:val="18"/>
          <w:lang w:val="en-US" w:eastAsia="en-US"/>
        </w:rPr>
        <w:t>Premio</w:t>
      </w:r>
      <w:proofErr w:type="spellEnd"/>
      <w:r w:rsidRPr="000F5821">
        <w:rPr>
          <w:rFonts w:ascii="Arial" w:eastAsiaTheme="minorHAnsi" w:hAnsi="Arial" w:cs="Arial"/>
          <w:i/>
          <w:sz w:val="18"/>
          <w:szCs w:val="18"/>
          <w:lang w:val="en-US" w:eastAsia="en-US"/>
        </w:rPr>
        <w:t xml:space="preserve"> L’Oréal UNESCO </w:t>
      </w:r>
      <w:r w:rsidRPr="000F5821">
        <w:rPr>
          <w:rFonts w:ascii="Arial" w:eastAsiaTheme="minorHAnsi" w:hAnsi="Arial" w:cs="Arial"/>
          <w:sz w:val="18"/>
          <w:szCs w:val="18"/>
          <w:lang w:val="en-US" w:eastAsia="en-US"/>
        </w:rPr>
        <w:t xml:space="preserve">(UNESCO y </w:t>
      </w:r>
      <w:proofErr w:type="spellStart"/>
      <w:r w:rsidRPr="000F5821">
        <w:rPr>
          <w:rFonts w:ascii="Arial" w:eastAsiaTheme="minorHAnsi" w:hAnsi="Arial" w:cs="Arial"/>
          <w:sz w:val="18"/>
          <w:szCs w:val="18"/>
          <w:lang w:val="en-US" w:eastAsia="en-US"/>
        </w:rPr>
        <w:t>fundación</w:t>
      </w:r>
      <w:proofErr w:type="spellEnd"/>
      <w:r w:rsidRPr="000F5821">
        <w:rPr>
          <w:rFonts w:ascii="Arial" w:eastAsiaTheme="minorHAnsi" w:hAnsi="Arial" w:cs="Arial"/>
          <w:sz w:val="18"/>
          <w:szCs w:val="18"/>
          <w:lang w:val="en-US" w:eastAsia="en-US"/>
        </w:rPr>
        <w:t xml:space="preserve"> </w:t>
      </w:r>
      <w:proofErr w:type="spellStart"/>
      <w:r w:rsidRPr="000F5821">
        <w:rPr>
          <w:rFonts w:ascii="Arial" w:eastAsiaTheme="minorHAnsi" w:hAnsi="Arial" w:cs="Arial"/>
          <w:sz w:val="18"/>
          <w:szCs w:val="18"/>
          <w:lang w:val="en-US" w:eastAsia="en-US"/>
        </w:rPr>
        <w:t>L’Óreal</w:t>
      </w:r>
      <w:proofErr w:type="spellEnd"/>
      <w:r w:rsidRPr="000F5821">
        <w:rPr>
          <w:rFonts w:ascii="Arial" w:eastAsiaTheme="minorHAnsi" w:hAnsi="Arial" w:cs="Arial"/>
          <w:sz w:val="18"/>
          <w:szCs w:val="18"/>
          <w:lang w:val="en-US" w:eastAsia="en-US"/>
        </w:rPr>
        <w:t>),</w:t>
      </w:r>
      <w:r w:rsidRPr="000F5821">
        <w:rPr>
          <w:rFonts w:ascii="Arial" w:eastAsiaTheme="minorHAnsi" w:hAnsi="Arial" w:cs="Arial"/>
          <w:i/>
          <w:sz w:val="18"/>
          <w:szCs w:val="18"/>
          <w:lang w:val="en-US" w:eastAsia="en-US"/>
        </w:rPr>
        <w:t xml:space="preserve"> </w:t>
      </w:r>
      <w:r w:rsidRPr="000F5821">
        <w:rPr>
          <w:rFonts w:ascii="Arial" w:eastAsiaTheme="minorHAnsi" w:hAnsi="Arial" w:cs="Arial"/>
          <w:sz w:val="18"/>
          <w:szCs w:val="18"/>
          <w:lang w:val="en-US" w:eastAsia="en-US"/>
        </w:rPr>
        <w:t>etc.</w:t>
      </w:r>
    </w:p>
    <w:p w:rsidR="000F5821" w:rsidRPr="000F5821" w:rsidRDefault="000F5821" w:rsidP="000F5821">
      <w:pPr>
        <w:spacing w:line="276" w:lineRule="auto"/>
        <w:jc w:val="both"/>
        <w:rPr>
          <w:rFonts w:ascii="Arial" w:eastAsiaTheme="minorHAnsi" w:hAnsi="Arial" w:cs="Arial"/>
          <w:i/>
          <w:sz w:val="18"/>
          <w:szCs w:val="18"/>
          <w:lang w:val="en-US" w:eastAsia="en-US"/>
        </w:rPr>
      </w:pPr>
    </w:p>
    <w:p w:rsidR="000F5821" w:rsidRPr="000F5821" w:rsidRDefault="000F5821" w:rsidP="000F5821">
      <w:pPr>
        <w:spacing w:line="276" w:lineRule="auto"/>
        <w:jc w:val="both"/>
        <w:rPr>
          <w:rFonts w:ascii="Arial" w:eastAsiaTheme="minorHAnsi" w:hAnsi="Arial" w:cs="Arial"/>
          <w:i/>
          <w:sz w:val="18"/>
          <w:szCs w:val="18"/>
          <w:lang w:val="es-MX" w:eastAsia="en-US"/>
        </w:rPr>
      </w:pPr>
      <w:r w:rsidRPr="000F5821">
        <w:rPr>
          <w:rFonts w:ascii="Arial" w:eastAsiaTheme="minorHAnsi" w:hAnsi="Arial" w:cs="Arial"/>
          <w:i/>
          <w:sz w:val="18"/>
          <w:szCs w:val="18"/>
          <w:lang w:val="es-MX" w:eastAsia="en-US"/>
        </w:rPr>
        <w:t xml:space="preserve">Concurso Nacional de Matemáticas Pierre Fermat </w:t>
      </w:r>
      <w:r w:rsidRPr="000F5821">
        <w:rPr>
          <w:rFonts w:ascii="Arial" w:eastAsiaTheme="minorHAnsi" w:hAnsi="Arial" w:cs="Arial"/>
          <w:sz w:val="18"/>
          <w:szCs w:val="18"/>
          <w:lang w:val="es-MX" w:eastAsia="en-US"/>
        </w:rPr>
        <w:t>(Instituto Politécnico Nacional);</w:t>
      </w:r>
      <w:r w:rsidRPr="000F5821">
        <w:rPr>
          <w:rFonts w:ascii="Arial" w:eastAsiaTheme="minorHAnsi" w:hAnsi="Arial" w:cs="Arial"/>
          <w:i/>
          <w:sz w:val="18"/>
          <w:szCs w:val="18"/>
          <w:lang w:val="es-MX" w:eastAsia="en-US"/>
        </w:rPr>
        <w:t xml:space="preserve"> Olimpiada Juvenil Internacional de Ciencia (International Junio </w:t>
      </w:r>
      <w:proofErr w:type="spellStart"/>
      <w:r w:rsidRPr="000F5821">
        <w:rPr>
          <w:rFonts w:ascii="Arial" w:eastAsiaTheme="minorHAnsi" w:hAnsi="Arial" w:cs="Arial"/>
          <w:i/>
          <w:sz w:val="18"/>
          <w:szCs w:val="18"/>
          <w:lang w:val="es-MX" w:eastAsia="en-US"/>
        </w:rPr>
        <w:t>Science</w:t>
      </w:r>
      <w:proofErr w:type="spellEnd"/>
      <w:r w:rsidRPr="000F5821">
        <w:rPr>
          <w:rFonts w:ascii="Arial" w:eastAsiaTheme="minorHAnsi" w:hAnsi="Arial" w:cs="Arial"/>
          <w:i/>
          <w:sz w:val="18"/>
          <w:szCs w:val="18"/>
          <w:lang w:val="es-MX" w:eastAsia="en-US"/>
        </w:rPr>
        <w:t xml:space="preserve"> </w:t>
      </w:r>
      <w:proofErr w:type="spellStart"/>
      <w:r w:rsidRPr="000F5821">
        <w:rPr>
          <w:rFonts w:ascii="Arial" w:eastAsiaTheme="minorHAnsi" w:hAnsi="Arial" w:cs="Arial"/>
          <w:i/>
          <w:sz w:val="18"/>
          <w:szCs w:val="18"/>
          <w:lang w:val="es-MX" w:eastAsia="en-US"/>
        </w:rPr>
        <w:t>Olympiad</w:t>
      </w:r>
      <w:proofErr w:type="spellEnd"/>
      <w:r w:rsidRPr="000F5821">
        <w:rPr>
          <w:rFonts w:ascii="Arial" w:eastAsiaTheme="minorHAnsi" w:hAnsi="Arial" w:cs="Arial"/>
          <w:i/>
          <w:sz w:val="18"/>
          <w:szCs w:val="18"/>
          <w:lang w:val="es-MX" w:eastAsia="en-US"/>
        </w:rPr>
        <w:t xml:space="preserve"> –IJSO; XXI Olimpiada Estatal de Biología, </w:t>
      </w:r>
      <w:r w:rsidRPr="000F5821">
        <w:rPr>
          <w:rFonts w:ascii="Arial" w:eastAsiaTheme="minorHAnsi" w:hAnsi="Arial" w:cs="Arial"/>
          <w:sz w:val="18"/>
          <w:szCs w:val="18"/>
          <w:lang w:val="es-MX" w:eastAsia="en-US"/>
        </w:rPr>
        <w:t>etc.</w:t>
      </w:r>
    </w:p>
    <w:p w:rsidR="000F5821" w:rsidRPr="000F5821" w:rsidRDefault="000F5821" w:rsidP="000F5821">
      <w:pPr>
        <w:spacing w:line="276" w:lineRule="auto"/>
        <w:jc w:val="both"/>
        <w:rPr>
          <w:rFonts w:ascii="Arial" w:eastAsiaTheme="minorHAnsi" w:hAnsi="Arial" w:cs="Arial"/>
          <w:i/>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Nombres de instituciones</w:t>
      </w: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Es importante distinguir entre el logotipo de una institución y sus acrónimos, y siempre respetaremos la manera en que conforman sus acrónimos; de acuerdo con las reglas ortográficas se recomienda escribir con letra inicial la mayúscula de los acrónimos con más de cuatro letras. </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lastRenderedPageBreak/>
        <w:t xml:space="preserve">Los nombres de las instituciones </w:t>
      </w:r>
      <w:r w:rsidRPr="000F5821">
        <w:rPr>
          <w:rFonts w:ascii="Arial" w:eastAsiaTheme="minorHAnsi" w:hAnsi="Arial" w:cs="Arial"/>
          <w:sz w:val="18"/>
          <w:szCs w:val="18"/>
          <w:u w:val="single"/>
          <w:lang w:val="es-MX" w:eastAsia="en-US"/>
        </w:rPr>
        <w:t>se escribirán completos y, si posteriormente nos referimos a la misma institución</w:t>
      </w:r>
      <w:r w:rsidRPr="000F5821">
        <w:rPr>
          <w:rFonts w:ascii="Arial" w:eastAsiaTheme="minorHAnsi" w:hAnsi="Arial" w:cs="Arial"/>
          <w:sz w:val="18"/>
          <w:szCs w:val="18"/>
          <w:lang w:val="es-MX" w:eastAsia="en-US"/>
        </w:rPr>
        <w:t xml:space="preserve"> entre paréntesis escribiremos sus acrónimos.  Algunos ejemplos: Secretaría de Desarrollo Social (SEDESOL), Secretaría de Educación Pública (SEP), Instituto Politécnico Nacional (IPN), Instituto Tecnológico y de Estudios Superiores de Monterrey (ITESM), Consejo Nacional para la Cultura y las Artes (Conaculta), Fondo Nacional para la Cultura y las Artes (Fonart), Instituto Nacional de Bellas Artes y Literatura (INBAL), Fondo Nacional para la Cultura y las Artes (FONCA), Instituto Mexicano de la Juventud (IMJUVE), Universidad Autónoma Metropolitana (UAM Xochimilco), Centro de Investigaciones y Estudios Superiores en Antropología Social (CIESAS), etc.</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Escritura con inicial mayúscula:</w:t>
      </w: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La primera palabra de un escrito y la que vaya después del punto, ejemplo: Los cambios son muchos y estructurales en algunos casos. Desaparece la tilde en la conjunción ‘o’ entre cifras (3 o 4).</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Nombres propios y de divinidad: Dios, Chiapas, Michoacán, Ricardo, Arturo, María, etc. </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Marcos </w:t>
      </w:r>
      <w:proofErr w:type="spellStart"/>
      <w:r w:rsidRPr="000F5821">
        <w:rPr>
          <w:rFonts w:ascii="Arial" w:eastAsiaTheme="minorHAnsi" w:hAnsi="Arial" w:cs="Arial"/>
          <w:sz w:val="18"/>
          <w:szCs w:val="18"/>
          <w:lang w:val="es-MX" w:eastAsia="en-US"/>
        </w:rPr>
        <w:t>Moshinsky</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Borodiansky</w:t>
      </w:r>
      <w:proofErr w:type="spellEnd"/>
      <w:r w:rsidRPr="000F5821">
        <w:rPr>
          <w:rFonts w:ascii="Arial" w:eastAsiaTheme="minorHAnsi" w:hAnsi="Arial" w:cs="Arial"/>
          <w:sz w:val="18"/>
          <w:szCs w:val="18"/>
          <w:lang w:val="es-MX" w:eastAsia="en-US"/>
        </w:rPr>
        <w:t xml:space="preserve"> (Premio Nacional de Ciencias y Artes 1968, en Ciencias Físico-Matemáticas y Naturales); Mario </w:t>
      </w:r>
      <w:proofErr w:type="spellStart"/>
      <w:r w:rsidRPr="000F5821">
        <w:rPr>
          <w:rFonts w:ascii="Arial" w:eastAsiaTheme="minorHAnsi" w:hAnsi="Arial" w:cs="Arial"/>
          <w:sz w:val="18"/>
          <w:szCs w:val="18"/>
          <w:lang w:val="es-MX" w:eastAsia="en-US"/>
        </w:rPr>
        <w:t>Lavista</w:t>
      </w:r>
      <w:proofErr w:type="spellEnd"/>
      <w:r w:rsidRPr="000F5821">
        <w:rPr>
          <w:rFonts w:ascii="Arial" w:eastAsiaTheme="minorHAnsi" w:hAnsi="Arial" w:cs="Arial"/>
          <w:sz w:val="18"/>
          <w:szCs w:val="18"/>
          <w:lang w:val="es-MX" w:eastAsia="en-US"/>
        </w:rPr>
        <w:t xml:space="preserve"> Camacho (Premio Nacional de Ciencias y Artes, en Bellas Artes, 1991); José Antonio Fernández Carbajal (Presidente del Consejo de Administración y Director General de FEMSA); Luisa María Díaz González (Premio Nacional de la Juventud 2001), etc.</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Se acota, las partículas incluidas en los nombres de las personas, se escriben en minúsculas, ejemplo: </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Rafael Palacios </w:t>
      </w:r>
      <w:r w:rsidRPr="000F5821">
        <w:rPr>
          <w:rFonts w:ascii="Arial" w:eastAsiaTheme="minorHAnsi" w:hAnsi="Arial" w:cs="Arial"/>
          <w:sz w:val="18"/>
          <w:szCs w:val="18"/>
          <w:u w:val="single"/>
          <w:lang w:val="es-MX" w:eastAsia="en-US"/>
        </w:rPr>
        <w:t>de la</w:t>
      </w:r>
      <w:r w:rsidRPr="000F5821">
        <w:rPr>
          <w:rFonts w:ascii="Arial" w:eastAsiaTheme="minorHAnsi" w:hAnsi="Arial" w:cs="Arial"/>
          <w:sz w:val="18"/>
          <w:szCs w:val="18"/>
          <w:lang w:val="es-MX" w:eastAsia="en-US"/>
        </w:rPr>
        <w:t xml:space="preserve"> Lama (Premio Nacional de Ciencias y Artes 1994, en Ciencias Físico-Matemáticas y Naturales); Friedrich </w:t>
      </w:r>
      <w:proofErr w:type="spellStart"/>
      <w:r w:rsidRPr="000F5821">
        <w:rPr>
          <w:rFonts w:ascii="Arial" w:eastAsiaTheme="minorHAnsi" w:hAnsi="Arial" w:cs="Arial"/>
          <w:sz w:val="18"/>
          <w:szCs w:val="18"/>
          <w:lang w:val="es-MX" w:eastAsia="en-US"/>
        </w:rPr>
        <w:t>Wilhem</w:t>
      </w:r>
      <w:proofErr w:type="spellEnd"/>
      <w:r w:rsidRPr="000F5821">
        <w:rPr>
          <w:rFonts w:ascii="Arial" w:eastAsiaTheme="minorHAnsi" w:hAnsi="Arial" w:cs="Arial"/>
          <w:sz w:val="18"/>
          <w:szCs w:val="18"/>
          <w:lang w:val="es-MX" w:eastAsia="en-US"/>
        </w:rPr>
        <w:t xml:space="preserve"> Heinrich Alexander </w:t>
      </w:r>
      <w:proofErr w:type="spellStart"/>
      <w:r w:rsidRPr="000F5821">
        <w:rPr>
          <w:rFonts w:ascii="Arial" w:eastAsiaTheme="minorHAnsi" w:hAnsi="Arial" w:cs="Arial"/>
          <w:sz w:val="18"/>
          <w:szCs w:val="18"/>
          <w:lang w:val="es-MX" w:eastAsia="en-US"/>
        </w:rPr>
        <w:t>Freiherr</w:t>
      </w:r>
      <w:proofErr w:type="spellEnd"/>
      <w:r w:rsidRPr="000F5821">
        <w:rPr>
          <w:rFonts w:ascii="Arial" w:eastAsiaTheme="minorHAnsi" w:hAnsi="Arial" w:cs="Arial"/>
          <w:sz w:val="18"/>
          <w:szCs w:val="18"/>
          <w:lang w:val="es-MX" w:eastAsia="en-US"/>
        </w:rPr>
        <w:t xml:space="preserve"> </w:t>
      </w:r>
      <w:r w:rsidRPr="000F5821">
        <w:rPr>
          <w:rFonts w:ascii="Arial" w:eastAsiaTheme="minorHAnsi" w:hAnsi="Arial" w:cs="Arial"/>
          <w:sz w:val="18"/>
          <w:szCs w:val="18"/>
          <w:u w:val="single"/>
          <w:lang w:val="es-MX" w:eastAsia="en-US"/>
        </w:rPr>
        <w:t>von</w:t>
      </w:r>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Humbolt</w:t>
      </w:r>
      <w:proofErr w:type="spellEnd"/>
      <w:r w:rsidRPr="000F5821">
        <w:rPr>
          <w:rFonts w:ascii="Arial" w:eastAsiaTheme="minorHAnsi" w:hAnsi="Arial" w:cs="Arial"/>
          <w:sz w:val="18"/>
          <w:szCs w:val="18"/>
          <w:lang w:val="es-MX" w:eastAsia="en-US"/>
        </w:rPr>
        <w:t>, etc.</w:t>
      </w:r>
    </w:p>
    <w:p w:rsidR="000F5821" w:rsidRPr="000F5821" w:rsidRDefault="000F5821" w:rsidP="000F5821">
      <w:pPr>
        <w:spacing w:line="276" w:lineRule="auto"/>
        <w:ind w:left="720"/>
        <w:contextualSpacing/>
        <w:jc w:val="both"/>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Los sustantivos y adjetivos que compongan el nombre de una institución o de una organización: el Supremo Tribunal de Justicia, el Museo Nacional de Antropología e Historia, Museo del Templo Mayor, Museo Nacional de Arte, Museo Nacional de Culturas Populares, etc.</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Leyes, acuerdos, decretos y documentos oficiales suelen escribirse con inicial mayúscula, así como  todas la palabras que expresan poder público, dignidad o cargo importante, ejemplos: Ley del Instituto Mexicano de la Juventud, Acuerdo por el que otorga el Premio Nacional de la Juventud 2012, República, Estado, Gobierno, Ministro, Presidente, Senador, Diputado, Justicia, Magistrado, Juez, General, Jefe, Gobernador, Alcalde, Director General, Director, Coordinador, Coordinador General, Secretario, Subdirector General, etc.</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Cuando no encabecen párrafo o escrito, o no formen parte de un título, se escriben con letra minúscula inicial los nombres de los días de la semana, de los meses, de las estaciones del año y de las notas musicales, ejemplo: El lunes pasaré por el tratado de Ciencias Naturales.  Así como los gentilicios: mexicano, oaxaqueño, chiapaneco, mexiquense, michoacana, etc.</w:t>
      </w:r>
    </w:p>
    <w:p w:rsidR="000F5821" w:rsidRPr="000F5821" w:rsidRDefault="000F5821" w:rsidP="000F5821">
      <w:pPr>
        <w:spacing w:after="200" w:line="276" w:lineRule="auto"/>
        <w:ind w:left="720"/>
        <w:contextualSpacing/>
        <w:rPr>
          <w:rFonts w:ascii="Arial" w:eastAsiaTheme="minorHAnsi" w:hAnsi="Arial" w:cs="Arial"/>
          <w:sz w:val="18"/>
          <w:szCs w:val="18"/>
          <w:lang w:val="es-MX" w:eastAsia="en-US"/>
        </w:rPr>
      </w:pPr>
    </w:p>
    <w:p w:rsidR="000F5821" w:rsidRPr="000F5821" w:rsidRDefault="000F5821" w:rsidP="000F5821">
      <w:pPr>
        <w:numPr>
          <w:ilvl w:val="0"/>
          <w:numId w:val="1"/>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Al escribir mayúsculas se mantiene la tilde si la acentuación ortográfica lo exige, a fin de evitar errores de pronunciación o confusiones en la interpretación de los vocablos, ejemplos: Óscar, Álvaro, Ávila, etc.</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Gerundio</w:t>
      </w:r>
    </w:p>
    <w:p w:rsidR="000F5821" w:rsidRPr="000F5821" w:rsidRDefault="000F5821" w:rsidP="000F5821">
      <w:pPr>
        <w:numPr>
          <w:ilvl w:val="0"/>
          <w:numId w:val="2"/>
        </w:numPr>
        <w:spacing w:after="200" w:line="276" w:lineRule="auto"/>
        <w:contextualSpacing/>
        <w:jc w:val="both"/>
        <w:rPr>
          <w:rFonts w:ascii="Arial" w:eastAsiaTheme="minorHAnsi" w:hAnsi="Arial" w:cs="Arial"/>
          <w:b/>
          <w:sz w:val="18"/>
          <w:szCs w:val="18"/>
          <w:lang w:val="es-MX" w:eastAsia="en-US"/>
        </w:rPr>
      </w:pPr>
      <w:r w:rsidRPr="000F5821">
        <w:rPr>
          <w:rFonts w:ascii="Arial" w:eastAsiaTheme="minorHAnsi" w:hAnsi="Arial" w:cs="Arial"/>
          <w:sz w:val="18"/>
          <w:szCs w:val="18"/>
          <w:lang w:val="es-MX" w:eastAsia="en-US"/>
        </w:rPr>
        <w:t>Sin restricciones, sin embargo, se aplica mejor en poesía.</w:t>
      </w:r>
    </w:p>
    <w:p w:rsidR="000F5821" w:rsidRPr="000F5821" w:rsidRDefault="000F5821" w:rsidP="000F5821">
      <w:pPr>
        <w:spacing w:line="276" w:lineRule="auto"/>
        <w:jc w:val="both"/>
        <w:rPr>
          <w:rFonts w:ascii="Arial" w:eastAsiaTheme="minorHAnsi" w:hAnsi="Arial" w:cs="Arial"/>
          <w:sz w:val="18"/>
          <w:szCs w:val="18"/>
          <w:lang w:val="es-MX" w:eastAsia="en-US"/>
        </w:rPr>
      </w:pPr>
    </w:p>
    <w:p w:rsidR="000F5821" w:rsidRPr="000F5821" w:rsidRDefault="000F5821" w:rsidP="000F5821">
      <w:pPr>
        <w:spacing w:line="276" w:lineRule="auto"/>
        <w:jc w:val="both"/>
        <w:rPr>
          <w:rFonts w:ascii="Arial" w:eastAsiaTheme="minorHAnsi" w:hAnsi="Arial" w:cs="Arial"/>
          <w:b/>
          <w:sz w:val="18"/>
          <w:szCs w:val="18"/>
          <w:lang w:val="es-MX" w:eastAsia="en-US"/>
        </w:rPr>
      </w:pPr>
      <w:r w:rsidRPr="000F5821">
        <w:rPr>
          <w:rFonts w:ascii="Arial" w:eastAsiaTheme="minorHAnsi" w:hAnsi="Arial" w:cs="Arial"/>
          <w:b/>
          <w:sz w:val="18"/>
          <w:szCs w:val="18"/>
          <w:lang w:val="es-MX" w:eastAsia="en-US"/>
        </w:rPr>
        <w:t>Referencias</w:t>
      </w:r>
    </w:p>
    <w:p w:rsidR="000F5821" w:rsidRPr="000F5821" w:rsidRDefault="000F5821" w:rsidP="000F5821">
      <w:pPr>
        <w:numPr>
          <w:ilvl w:val="0"/>
          <w:numId w:val="2"/>
        </w:numPr>
        <w:spacing w:after="200" w:line="276" w:lineRule="auto"/>
        <w:contextualSpacing/>
        <w:jc w:val="both"/>
        <w:rPr>
          <w:rFonts w:ascii="Arial" w:eastAsiaTheme="minorHAnsi" w:hAnsi="Arial" w:cs="Arial"/>
          <w:sz w:val="18"/>
          <w:szCs w:val="18"/>
          <w:lang w:val="es-MX" w:eastAsia="en-US"/>
        </w:rPr>
      </w:pPr>
      <w:r w:rsidRPr="000F5821">
        <w:rPr>
          <w:rFonts w:ascii="Arial" w:eastAsiaTheme="minorHAnsi" w:hAnsi="Arial" w:cs="Arial"/>
          <w:sz w:val="18"/>
          <w:szCs w:val="18"/>
          <w:lang w:val="es-MX" w:eastAsia="en-US"/>
        </w:rPr>
        <w:t xml:space="preserve">Al citar el nombre de una entidad o institución, para mayor claridad se agrega entre paréntesis el nombre de la ciudad donde se localiza, ejemplo: Teatro Macedonio Alcalá (Oaxaca), Royal </w:t>
      </w:r>
      <w:proofErr w:type="spellStart"/>
      <w:r w:rsidRPr="000F5821">
        <w:rPr>
          <w:rFonts w:ascii="Arial" w:eastAsiaTheme="minorHAnsi" w:hAnsi="Arial" w:cs="Arial"/>
          <w:sz w:val="18"/>
          <w:szCs w:val="18"/>
          <w:lang w:val="es-MX" w:eastAsia="en-US"/>
        </w:rPr>
        <w:t>Court</w:t>
      </w:r>
      <w:proofErr w:type="spellEnd"/>
      <w:r w:rsidRPr="000F5821">
        <w:rPr>
          <w:rFonts w:ascii="Arial" w:eastAsiaTheme="minorHAnsi" w:hAnsi="Arial" w:cs="Arial"/>
          <w:sz w:val="18"/>
          <w:szCs w:val="18"/>
          <w:lang w:val="es-MX" w:eastAsia="en-US"/>
        </w:rPr>
        <w:t xml:space="preserve"> </w:t>
      </w:r>
      <w:proofErr w:type="spellStart"/>
      <w:r w:rsidRPr="000F5821">
        <w:rPr>
          <w:rFonts w:ascii="Arial" w:eastAsiaTheme="minorHAnsi" w:hAnsi="Arial" w:cs="Arial"/>
          <w:sz w:val="18"/>
          <w:szCs w:val="18"/>
          <w:lang w:val="es-MX" w:eastAsia="en-US"/>
        </w:rPr>
        <w:t>Theater</w:t>
      </w:r>
      <w:proofErr w:type="spellEnd"/>
      <w:r w:rsidRPr="000F5821">
        <w:rPr>
          <w:rFonts w:ascii="Arial" w:eastAsiaTheme="minorHAnsi" w:hAnsi="Arial" w:cs="Arial"/>
          <w:sz w:val="18"/>
          <w:szCs w:val="18"/>
          <w:lang w:val="es-MX" w:eastAsia="en-US"/>
        </w:rPr>
        <w:t xml:space="preserve"> (Londres), etc.</w:t>
      </w:r>
    </w:p>
    <w:p w:rsidR="005351A6" w:rsidRPr="005351A6" w:rsidRDefault="005351A6" w:rsidP="000F5821">
      <w:pPr>
        <w:rPr>
          <w:lang w:val="es-MX"/>
        </w:rPr>
      </w:pPr>
    </w:p>
    <w:sectPr w:rsidR="005351A6" w:rsidRPr="005351A6" w:rsidSect="00C33CB4">
      <w:headerReference w:type="default" r:id="rId7"/>
      <w:footerReference w:type="default" r:id="rId8"/>
      <w:pgSz w:w="12240" w:h="15840"/>
      <w:pgMar w:top="1059" w:right="1418" w:bottom="1134" w:left="1701" w:header="10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AA" w:rsidRDefault="00B731AA">
      <w:r>
        <w:separator/>
      </w:r>
    </w:p>
  </w:endnote>
  <w:endnote w:type="continuationSeparator" w:id="0">
    <w:p w:rsidR="00B731AA" w:rsidRDefault="00B7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1A" w:rsidRPr="004C06B1" w:rsidRDefault="00A64B1A" w:rsidP="00A64B1A">
    <w:pPr>
      <w:tabs>
        <w:tab w:val="center" w:pos="4419"/>
        <w:tab w:val="right" w:pos="8838"/>
      </w:tabs>
      <w:rPr>
        <w:rFonts w:ascii="Arial" w:hAnsi="Arial" w:cs="Arial"/>
        <w:b/>
        <w:smallCaps/>
        <w:color w:val="808080"/>
        <w:sz w:val="16"/>
        <w:szCs w:val="16"/>
        <w:lang w:eastAsia="en-US"/>
      </w:rPr>
    </w:pPr>
    <w:r>
      <w:rPr>
        <w:noProof/>
        <w:lang w:val="es-MX" w:eastAsia="es-MX"/>
      </w:rPr>
      <w:drawing>
        <wp:anchor distT="0" distB="0" distL="114300" distR="114300" simplePos="0" relativeHeight="251661312" behindDoc="1" locked="0" layoutInCell="1" allowOverlap="1" wp14:anchorId="2041C6A9" wp14:editId="166F1278">
          <wp:simplePos x="0" y="0"/>
          <wp:positionH relativeFrom="page">
            <wp:posOffset>0</wp:posOffset>
          </wp:positionH>
          <wp:positionV relativeFrom="paragraph">
            <wp:posOffset>-132715</wp:posOffset>
          </wp:positionV>
          <wp:extent cx="7771765" cy="1170940"/>
          <wp:effectExtent l="0" t="0" r="63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oGeneral.png"/>
                  <pic:cNvPicPr/>
                </pic:nvPicPr>
                <pic:blipFill rotWithShape="1">
                  <a:blip r:embed="rId1" cstate="print">
                    <a:extLst>
                      <a:ext uri="{28A0092B-C50C-407E-A947-70E740481C1C}">
                        <a14:useLocalDpi xmlns:a14="http://schemas.microsoft.com/office/drawing/2010/main" val="0"/>
                      </a:ext>
                    </a:extLst>
                  </a:blip>
                  <a:srcRect t="84096"/>
                  <a:stretch/>
                </pic:blipFill>
                <pic:spPr bwMode="auto">
                  <a:xfrm>
                    <a:off x="0" y="0"/>
                    <a:ext cx="7771765" cy="1170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209E6" w:rsidRPr="00A64B1A" w:rsidRDefault="008634E3">
    <w:pPr>
      <w:pStyle w:val="Piedepgina"/>
      <w:rPr>
        <w:rFonts w:ascii="Arial" w:hAnsi="Arial" w:cs="Arial"/>
        <w:b/>
        <w:smallCaps/>
        <w:color w:val="808080" w:themeColor="background1" w:themeShade="80"/>
        <w:sz w:val="16"/>
        <w:szCs w:val="16"/>
        <w:lang w:eastAsia="en-US"/>
      </w:rPr>
    </w:pPr>
    <w:r w:rsidRPr="008634E3">
      <w:rPr>
        <w:noProof/>
        <w:lang w:eastAsia="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AA" w:rsidRDefault="00B731AA">
      <w:r>
        <w:separator/>
      </w:r>
    </w:p>
  </w:footnote>
  <w:footnote w:type="continuationSeparator" w:id="0">
    <w:p w:rsidR="00B731AA" w:rsidRDefault="00B7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25" w:rsidRDefault="009F4B99" w:rsidP="009F4B99">
    <w:pPr>
      <w:pStyle w:val="Encabezado"/>
      <w:tabs>
        <w:tab w:val="clear" w:pos="4419"/>
        <w:tab w:val="clear" w:pos="8838"/>
        <w:tab w:val="left" w:pos="630"/>
        <w:tab w:val="left" w:pos="6280"/>
      </w:tabs>
      <w:jc w:val="center"/>
      <w:rPr>
        <w:noProof/>
        <w:lang w:val="es-MX" w:eastAsia="es-MX"/>
      </w:rPr>
    </w:pPr>
    <w:r>
      <w:rPr>
        <w:noProof/>
        <w:lang w:val="es-MX" w:eastAsia="es-MX"/>
      </w:rPr>
      <w:drawing>
        <wp:anchor distT="0" distB="0" distL="114300" distR="114300" simplePos="0" relativeHeight="251663360" behindDoc="0" locked="0" layoutInCell="1" allowOverlap="1" wp14:anchorId="0BC1DFEC" wp14:editId="27B81F00">
          <wp:simplePos x="0" y="0"/>
          <wp:positionH relativeFrom="column">
            <wp:posOffset>-1029335</wp:posOffset>
          </wp:positionH>
          <wp:positionV relativeFrom="paragraph">
            <wp:posOffset>-619125</wp:posOffset>
          </wp:positionV>
          <wp:extent cx="7667625" cy="1043940"/>
          <wp:effectExtent l="0" t="0" r="9525" b="381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014" w:rsidRDefault="00B41AF4" w:rsidP="00B41AF4">
    <w:pPr>
      <w:pStyle w:val="Encabezado"/>
      <w:tabs>
        <w:tab w:val="clear" w:pos="4419"/>
        <w:tab w:val="clear" w:pos="8838"/>
        <w:tab w:val="left" w:pos="630"/>
        <w:tab w:val="left" w:pos="62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26291"/>
    <w:multiLevelType w:val="hybridMultilevel"/>
    <w:tmpl w:val="1E9CB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7B6CD4"/>
    <w:multiLevelType w:val="hybridMultilevel"/>
    <w:tmpl w:val="DC404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A2"/>
    <w:rsid w:val="00017292"/>
    <w:rsid w:val="0002235B"/>
    <w:rsid w:val="00071901"/>
    <w:rsid w:val="00086315"/>
    <w:rsid w:val="000A7A76"/>
    <w:rsid w:val="000B176F"/>
    <w:rsid w:val="000C651B"/>
    <w:rsid w:val="000F5821"/>
    <w:rsid w:val="00111602"/>
    <w:rsid w:val="001C2A71"/>
    <w:rsid w:val="001E0860"/>
    <w:rsid w:val="00235879"/>
    <w:rsid w:val="0027619B"/>
    <w:rsid w:val="0029104D"/>
    <w:rsid w:val="00296D03"/>
    <w:rsid w:val="002E7024"/>
    <w:rsid w:val="00331A6B"/>
    <w:rsid w:val="003628FF"/>
    <w:rsid w:val="0037714F"/>
    <w:rsid w:val="003812C4"/>
    <w:rsid w:val="003921E4"/>
    <w:rsid w:val="003C6D66"/>
    <w:rsid w:val="00437098"/>
    <w:rsid w:val="004511A2"/>
    <w:rsid w:val="004B40D6"/>
    <w:rsid w:val="004C06B1"/>
    <w:rsid w:val="005067A9"/>
    <w:rsid w:val="00525DF1"/>
    <w:rsid w:val="005351A6"/>
    <w:rsid w:val="00577714"/>
    <w:rsid w:val="005B7EE2"/>
    <w:rsid w:val="005D588F"/>
    <w:rsid w:val="00616C72"/>
    <w:rsid w:val="006332C5"/>
    <w:rsid w:val="00636405"/>
    <w:rsid w:val="006524A2"/>
    <w:rsid w:val="00677149"/>
    <w:rsid w:val="006C2EBA"/>
    <w:rsid w:val="006D16BF"/>
    <w:rsid w:val="006D54D7"/>
    <w:rsid w:val="006E343C"/>
    <w:rsid w:val="007C664A"/>
    <w:rsid w:val="007D14F3"/>
    <w:rsid w:val="007D2E9B"/>
    <w:rsid w:val="008625D1"/>
    <w:rsid w:val="008634E3"/>
    <w:rsid w:val="00883535"/>
    <w:rsid w:val="008E7528"/>
    <w:rsid w:val="009724E2"/>
    <w:rsid w:val="00977219"/>
    <w:rsid w:val="009855DC"/>
    <w:rsid w:val="009A114A"/>
    <w:rsid w:val="009C4274"/>
    <w:rsid w:val="009C573F"/>
    <w:rsid w:val="009D0895"/>
    <w:rsid w:val="009D64DB"/>
    <w:rsid w:val="009E3761"/>
    <w:rsid w:val="009F4B99"/>
    <w:rsid w:val="00A056CA"/>
    <w:rsid w:val="00A24FFC"/>
    <w:rsid w:val="00A43325"/>
    <w:rsid w:val="00A46EC1"/>
    <w:rsid w:val="00A57014"/>
    <w:rsid w:val="00A63081"/>
    <w:rsid w:val="00A64B1A"/>
    <w:rsid w:val="00AC1551"/>
    <w:rsid w:val="00AD3239"/>
    <w:rsid w:val="00AE7AC5"/>
    <w:rsid w:val="00AF48A1"/>
    <w:rsid w:val="00B24032"/>
    <w:rsid w:val="00B25C12"/>
    <w:rsid w:val="00B4065F"/>
    <w:rsid w:val="00B41AF4"/>
    <w:rsid w:val="00B52B33"/>
    <w:rsid w:val="00B731AA"/>
    <w:rsid w:val="00B77A78"/>
    <w:rsid w:val="00BA6473"/>
    <w:rsid w:val="00BC2135"/>
    <w:rsid w:val="00BC69F4"/>
    <w:rsid w:val="00BD72D7"/>
    <w:rsid w:val="00BE3B5D"/>
    <w:rsid w:val="00BF35C9"/>
    <w:rsid w:val="00C1294F"/>
    <w:rsid w:val="00C33CB4"/>
    <w:rsid w:val="00C57C55"/>
    <w:rsid w:val="00C63F02"/>
    <w:rsid w:val="00CB25F2"/>
    <w:rsid w:val="00CD0F07"/>
    <w:rsid w:val="00CE7B86"/>
    <w:rsid w:val="00D03EEA"/>
    <w:rsid w:val="00D3294F"/>
    <w:rsid w:val="00D447E4"/>
    <w:rsid w:val="00D64D25"/>
    <w:rsid w:val="00D72E14"/>
    <w:rsid w:val="00D7478E"/>
    <w:rsid w:val="00D751AC"/>
    <w:rsid w:val="00DB6B15"/>
    <w:rsid w:val="00DF6093"/>
    <w:rsid w:val="00E17D6C"/>
    <w:rsid w:val="00E25FB9"/>
    <w:rsid w:val="00E8154C"/>
    <w:rsid w:val="00EB71B0"/>
    <w:rsid w:val="00ED52D8"/>
    <w:rsid w:val="00F07A37"/>
    <w:rsid w:val="00F239C4"/>
    <w:rsid w:val="00F25A47"/>
    <w:rsid w:val="00F34A13"/>
    <w:rsid w:val="00F618B7"/>
    <w:rsid w:val="00F63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AC67AF-ACD8-469A-A52F-0D9DA81F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11A2"/>
    <w:pPr>
      <w:keepNext/>
      <w:spacing w:line="240" w:lineRule="exact"/>
      <w:jc w:val="center"/>
      <w:outlineLvl w:val="0"/>
    </w:pPr>
    <w:rPr>
      <w:rFonts w:ascii="Arial" w:hAnsi="Arial"/>
      <w:b/>
    </w:rPr>
  </w:style>
  <w:style w:type="paragraph" w:styleId="Ttulo3">
    <w:name w:val="heading 3"/>
    <w:basedOn w:val="Normal"/>
    <w:next w:val="Normal"/>
    <w:link w:val="Ttulo3Car"/>
    <w:qFormat/>
    <w:rsid w:val="004511A2"/>
    <w:pPr>
      <w:keepNext/>
      <w:jc w:val="center"/>
      <w:outlineLvl w:val="2"/>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11A2"/>
    <w:rPr>
      <w:rFonts w:ascii="Arial" w:eastAsia="Times New Roman" w:hAnsi="Arial" w:cs="Times New Roman"/>
      <w:b/>
      <w:sz w:val="24"/>
      <w:szCs w:val="24"/>
      <w:lang w:val="es-ES" w:eastAsia="es-ES"/>
    </w:rPr>
  </w:style>
  <w:style w:type="character" w:customStyle="1" w:styleId="Ttulo3Car">
    <w:name w:val="Título 3 Car"/>
    <w:basedOn w:val="Fuentedeprrafopredeter"/>
    <w:link w:val="Ttulo3"/>
    <w:rsid w:val="004511A2"/>
    <w:rPr>
      <w:rFonts w:ascii="Arial" w:eastAsia="Times New Roman" w:hAnsi="Arial" w:cs="Times New Roman"/>
      <w:b/>
      <w:bCs/>
      <w:sz w:val="24"/>
      <w:szCs w:val="24"/>
      <w:lang w:val="es-ES" w:eastAsia="es-ES"/>
    </w:rPr>
  </w:style>
  <w:style w:type="paragraph" w:styleId="Textodebloque">
    <w:name w:val="Block Text"/>
    <w:basedOn w:val="Normal"/>
    <w:rsid w:val="004511A2"/>
    <w:pPr>
      <w:ind w:left="851" w:right="851"/>
      <w:jc w:val="both"/>
    </w:pPr>
    <w:rPr>
      <w:rFonts w:ascii="Arial" w:hAnsi="Arial"/>
    </w:rPr>
  </w:style>
  <w:style w:type="paragraph" w:styleId="Piedepgina">
    <w:name w:val="footer"/>
    <w:basedOn w:val="Normal"/>
    <w:link w:val="PiedepginaCar"/>
    <w:uiPriority w:val="99"/>
    <w:unhideWhenUsed/>
    <w:rsid w:val="004511A2"/>
    <w:pPr>
      <w:tabs>
        <w:tab w:val="center" w:pos="4419"/>
        <w:tab w:val="right" w:pos="8838"/>
      </w:tabs>
    </w:pPr>
  </w:style>
  <w:style w:type="character" w:customStyle="1" w:styleId="PiedepginaCar">
    <w:name w:val="Pie de página Car"/>
    <w:basedOn w:val="Fuentedeprrafopredeter"/>
    <w:link w:val="Piedepgina"/>
    <w:uiPriority w:val="99"/>
    <w:rsid w:val="004511A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11A2"/>
    <w:rPr>
      <w:sz w:val="16"/>
      <w:szCs w:val="16"/>
    </w:rPr>
  </w:style>
  <w:style w:type="paragraph" w:styleId="Textocomentario">
    <w:name w:val="annotation text"/>
    <w:basedOn w:val="Normal"/>
    <w:link w:val="TextocomentarioCar"/>
    <w:uiPriority w:val="99"/>
    <w:semiHidden/>
    <w:unhideWhenUsed/>
    <w:rsid w:val="004511A2"/>
    <w:rPr>
      <w:sz w:val="20"/>
      <w:szCs w:val="20"/>
    </w:rPr>
  </w:style>
  <w:style w:type="character" w:customStyle="1" w:styleId="TextocomentarioCar">
    <w:name w:val="Texto comentario Car"/>
    <w:basedOn w:val="Fuentedeprrafopredeter"/>
    <w:link w:val="Textocomentario"/>
    <w:uiPriority w:val="99"/>
    <w:semiHidden/>
    <w:rsid w:val="004511A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51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1A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E7B86"/>
    <w:pPr>
      <w:tabs>
        <w:tab w:val="center" w:pos="4419"/>
        <w:tab w:val="right" w:pos="8838"/>
      </w:tabs>
    </w:pPr>
  </w:style>
  <w:style w:type="character" w:customStyle="1" w:styleId="EncabezadoCar">
    <w:name w:val="Encabezado Car"/>
    <w:basedOn w:val="Fuentedeprrafopredeter"/>
    <w:link w:val="Encabezado"/>
    <w:uiPriority w:val="99"/>
    <w:rsid w:val="00CE7B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9614">
      <w:bodyDiv w:val="1"/>
      <w:marLeft w:val="0"/>
      <w:marRight w:val="0"/>
      <w:marTop w:val="0"/>
      <w:marBottom w:val="0"/>
      <w:divBdr>
        <w:top w:val="none" w:sz="0" w:space="0" w:color="auto"/>
        <w:left w:val="none" w:sz="0" w:space="0" w:color="auto"/>
        <w:bottom w:val="none" w:sz="0" w:space="0" w:color="auto"/>
        <w:right w:val="none" w:sz="0" w:space="0" w:color="auto"/>
      </w:divBdr>
    </w:div>
    <w:div w:id="12301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1029</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Alvarez Gallardo</dc:creator>
  <cp:lastModifiedBy>Usuario de Windows</cp:lastModifiedBy>
  <cp:revision>3</cp:revision>
  <cp:lastPrinted>2013-03-20T03:18:00Z</cp:lastPrinted>
  <dcterms:created xsi:type="dcterms:W3CDTF">2021-06-23T21:22:00Z</dcterms:created>
  <dcterms:modified xsi:type="dcterms:W3CDTF">2021-06-25T19:13:00Z</dcterms:modified>
</cp:coreProperties>
</file>