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798" w:rsidRDefault="00471798" w:rsidP="005A17F8">
      <w:pPr>
        <w:jc w:val="center"/>
        <w:rPr>
          <w:b/>
          <w:sz w:val="20"/>
        </w:rPr>
      </w:pPr>
    </w:p>
    <w:p w:rsidR="00471798" w:rsidRDefault="00471798" w:rsidP="005A17F8">
      <w:pPr>
        <w:jc w:val="center"/>
      </w:pPr>
    </w:p>
    <w:p w:rsidR="00471798" w:rsidRDefault="00471798" w:rsidP="005A17F8">
      <w:pPr>
        <w:jc w:val="center"/>
      </w:pPr>
    </w:p>
    <w:p w:rsidR="00471798" w:rsidRPr="00471798" w:rsidRDefault="00471798" w:rsidP="005A17F8">
      <w:pPr>
        <w:jc w:val="center"/>
        <w:rPr>
          <w:b/>
          <w:sz w:val="40"/>
        </w:rPr>
      </w:pPr>
      <w:r w:rsidRPr="00471798">
        <w:rPr>
          <w:b/>
          <w:sz w:val="40"/>
        </w:rPr>
        <w:t>ANEXO</w:t>
      </w:r>
    </w:p>
    <w:p w:rsidR="00131483" w:rsidRPr="00471798" w:rsidRDefault="005A17F8" w:rsidP="005A17F8">
      <w:pPr>
        <w:jc w:val="center"/>
        <w:rPr>
          <w:b/>
          <w:sz w:val="24"/>
        </w:rPr>
      </w:pPr>
      <w:r w:rsidRPr="00471798">
        <w:rPr>
          <w:b/>
          <w:sz w:val="24"/>
        </w:rPr>
        <w:t>TERMINOS DE REFERENCIA</w:t>
      </w:r>
    </w:p>
    <w:p w:rsidR="00471798" w:rsidRPr="00471798" w:rsidRDefault="00471798" w:rsidP="005A17F8">
      <w:pPr>
        <w:jc w:val="center"/>
        <w:rPr>
          <w:b/>
        </w:rPr>
      </w:pPr>
    </w:p>
    <w:p w:rsidR="00FD5EDB" w:rsidRDefault="00FD5EDB" w:rsidP="00471798">
      <w:pPr>
        <w:jc w:val="center"/>
        <w:rPr>
          <w:b/>
        </w:rPr>
      </w:pPr>
    </w:p>
    <w:p w:rsidR="00B43D0B" w:rsidRDefault="00B43D0B" w:rsidP="00471798">
      <w:pPr>
        <w:jc w:val="center"/>
        <w:rPr>
          <w:b/>
        </w:rPr>
      </w:pPr>
    </w:p>
    <w:p w:rsidR="00B43D0B" w:rsidRDefault="00B43D0B" w:rsidP="00471798">
      <w:pPr>
        <w:jc w:val="center"/>
        <w:rPr>
          <w:b/>
        </w:rPr>
      </w:pPr>
    </w:p>
    <w:p w:rsidR="005A17F8" w:rsidRDefault="00B43D0B">
      <w:r>
        <w:rPr>
          <w:rFonts w:ascii="Arial" w:hAnsi="Arial" w:cs="Arial"/>
          <w:b/>
          <w:szCs w:val="18"/>
        </w:rPr>
        <w:t>PROYECTO EJECUTIVO PARA LA CONSTRUCCIÓN POR SUSTITUCIÓN DEL HOSPITAL GENERAL DE 30 A 60 CAMAS DE FELIPE CARRILLO PUERTO, DEL ESTADO DE QUINTANA ROO</w:t>
      </w:r>
    </w:p>
    <w:p w:rsidR="00584330" w:rsidRPr="00FD5EDB" w:rsidRDefault="00584330">
      <w:pPr>
        <w:rPr>
          <w:b/>
        </w:rPr>
      </w:pPr>
    </w:p>
    <w:p w:rsidR="00FD5EDB" w:rsidRDefault="00FD5EDB">
      <w:pPr>
        <w:rPr>
          <w:b/>
        </w:rPr>
      </w:pPr>
      <w:r>
        <w:rPr>
          <w:b/>
        </w:rPr>
        <w:br w:type="page"/>
      </w:r>
      <w:bookmarkStart w:id="0" w:name="_GoBack"/>
      <w:bookmarkEnd w:id="0"/>
    </w:p>
    <w:p w:rsidR="003C0BC6" w:rsidRDefault="003C0BC6" w:rsidP="003C0BC6">
      <w:pPr>
        <w:jc w:val="center"/>
        <w:rPr>
          <w:b/>
        </w:rPr>
      </w:pPr>
      <w:r>
        <w:rPr>
          <w:b/>
        </w:rPr>
        <w:lastRenderedPageBreak/>
        <w:t>CONTENIDO</w:t>
      </w:r>
    </w:p>
    <w:p w:rsidR="003C0BC6" w:rsidRPr="000F3D62" w:rsidRDefault="003C0BC6" w:rsidP="003C0BC6">
      <w:pPr>
        <w:tabs>
          <w:tab w:val="right" w:leader="dot" w:pos="7938"/>
        </w:tabs>
      </w:pPr>
      <w:r w:rsidRPr="000F3D62">
        <w:t>Términos y Abreviaturas</w:t>
      </w:r>
      <w:r w:rsidRPr="000F3D62">
        <w:tab/>
        <w:t>3</w:t>
      </w:r>
    </w:p>
    <w:p w:rsidR="003C0BC6" w:rsidRPr="000F3D62" w:rsidRDefault="003C0BC6" w:rsidP="003C0BC6">
      <w:pPr>
        <w:tabs>
          <w:tab w:val="right" w:leader="dot" w:pos="7938"/>
        </w:tabs>
      </w:pPr>
      <w:r w:rsidRPr="000F3D62">
        <w:t>Disposiciones Generales</w:t>
      </w:r>
      <w:r w:rsidRPr="000F3D62">
        <w:tab/>
        <w:t>5</w:t>
      </w:r>
    </w:p>
    <w:p w:rsidR="003C0BC6" w:rsidRPr="000F3D62" w:rsidRDefault="003C0BC6" w:rsidP="003C0BC6">
      <w:pPr>
        <w:tabs>
          <w:tab w:val="right" w:leader="dot" w:pos="7938"/>
        </w:tabs>
      </w:pPr>
      <w:r w:rsidRPr="000F3D62">
        <w:t>Objeto del Servicio</w:t>
      </w:r>
      <w:r w:rsidRPr="000F3D62">
        <w:tab/>
        <w:t>6</w:t>
      </w:r>
    </w:p>
    <w:p w:rsidR="003C0BC6" w:rsidRPr="000F3D62" w:rsidRDefault="003C0BC6" w:rsidP="003C0BC6">
      <w:pPr>
        <w:tabs>
          <w:tab w:val="right" w:leader="dot" w:pos="7938"/>
        </w:tabs>
      </w:pPr>
      <w:r w:rsidRPr="000F3D62">
        <w:t>Obligaciones</w:t>
      </w:r>
      <w:r w:rsidRPr="000F3D62">
        <w:tab/>
        <w:t>7</w:t>
      </w:r>
    </w:p>
    <w:p w:rsidR="003C0BC6" w:rsidRPr="000F3D62" w:rsidRDefault="003C0BC6" w:rsidP="003C0BC6">
      <w:pPr>
        <w:tabs>
          <w:tab w:val="right" w:leader="dot" w:pos="7938"/>
        </w:tabs>
      </w:pPr>
      <w:r w:rsidRPr="000F3D62">
        <w:t>Plazo de ejecución del servicio</w:t>
      </w:r>
      <w:r w:rsidRPr="000F3D62">
        <w:tab/>
        <w:t>8</w:t>
      </w:r>
    </w:p>
    <w:p w:rsidR="003C0BC6" w:rsidRPr="000F3D62" w:rsidRDefault="003C0BC6" w:rsidP="003C0BC6">
      <w:pPr>
        <w:tabs>
          <w:tab w:val="right" w:leader="dot" w:pos="7938"/>
        </w:tabs>
      </w:pPr>
      <w:r w:rsidRPr="000F3D62">
        <w:t>Normas y Reglamentos</w:t>
      </w:r>
      <w:r w:rsidRPr="000F3D62">
        <w:tab/>
        <w:t>8</w:t>
      </w:r>
    </w:p>
    <w:p w:rsidR="003C0BC6" w:rsidRPr="000F3D62" w:rsidRDefault="003C0BC6" w:rsidP="003C0BC6">
      <w:pPr>
        <w:tabs>
          <w:tab w:val="right" w:leader="dot" w:pos="7938"/>
        </w:tabs>
      </w:pPr>
      <w:r w:rsidRPr="000F3D62">
        <w:t>Alcance de los Servicios</w:t>
      </w:r>
      <w:r w:rsidRPr="000F3D62">
        <w:tab/>
        <w:t>9</w:t>
      </w:r>
    </w:p>
    <w:p w:rsidR="003C0BC6" w:rsidRPr="000F3D62" w:rsidRDefault="003C0BC6" w:rsidP="003C0BC6">
      <w:pPr>
        <w:tabs>
          <w:tab w:val="right" w:leader="dot" w:pos="7938"/>
        </w:tabs>
      </w:pPr>
      <w:r w:rsidRPr="000F3D62">
        <w:t>Producto Esperado</w:t>
      </w:r>
      <w:r>
        <w:tab/>
        <w:t>11</w:t>
      </w:r>
    </w:p>
    <w:p w:rsidR="003C0BC6" w:rsidRPr="000F3D62" w:rsidRDefault="003C0BC6" w:rsidP="003C0BC6">
      <w:pPr>
        <w:tabs>
          <w:tab w:val="right" w:leader="dot" w:pos="7938"/>
        </w:tabs>
      </w:pPr>
      <w:r w:rsidRPr="000F3D62">
        <w:t>Entrega de información y revisión</w:t>
      </w:r>
      <w:r>
        <w:tab/>
        <w:t>11</w:t>
      </w:r>
    </w:p>
    <w:p w:rsidR="003C0BC6" w:rsidRPr="000F3D62" w:rsidRDefault="003C0BC6" w:rsidP="003C0BC6">
      <w:pPr>
        <w:tabs>
          <w:tab w:val="right" w:leader="dot" w:pos="7938"/>
        </w:tabs>
      </w:pPr>
      <w:r w:rsidRPr="000F3D62">
        <w:t>Información técnica proporcionada por la SESA</w:t>
      </w:r>
      <w:r>
        <w:tab/>
        <w:t>11</w:t>
      </w:r>
    </w:p>
    <w:p w:rsidR="003C0BC6" w:rsidRDefault="003C0BC6">
      <w:pP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8E206A">
      <w:pPr>
        <w:jc w:val="center"/>
        <w:rPr>
          <w:b/>
        </w:rPr>
      </w:pPr>
    </w:p>
    <w:p w:rsidR="003C0BC6" w:rsidRDefault="003C0BC6" w:rsidP="005822B2">
      <w:pPr>
        <w:rPr>
          <w:b/>
        </w:rPr>
      </w:pPr>
    </w:p>
    <w:p w:rsidR="005822B2" w:rsidRDefault="005822B2" w:rsidP="008E206A">
      <w:pPr>
        <w:jc w:val="center"/>
        <w:rPr>
          <w:b/>
        </w:rPr>
      </w:pPr>
    </w:p>
    <w:p w:rsidR="008E206A" w:rsidRDefault="008E206A" w:rsidP="008E206A">
      <w:pPr>
        <w:jc w:val="center"/>
        <w:rPr>
          <w:b/>
        </w:rPr>
      </w:pPr>
      <w:r>
        <w:rPr>
          <w:b/>
        </w:rPr>
        <w:t>TÉRMINOS Y ABREVIATURAS</w:t>
      </w:r>
    </w:p>
    <w:p w:rsidR="008E206A" w:rsidRPr="005822B2" w:rsidRDefault="008E206A">
      <w:pPr>
        <w:rPr>
          <w:b/>
        </w:rPr>
      </w:pPr>
      <w:r w:rsidRPr="005822B2">
        <w:rPr>
          <w:b/>
        </w:rPr>
        <w:t xml:space="preserve">ACI: </w:t>
      </w:r>
      <w:r w:rsidRPr="005822B2">
        <w:t xml:space="preserve">American Concrete </w:t>
      </w:r>
      <w:proofErr w:type="spellStart"/>
      <w:r w:rsidRPr="005822B2">
        <w:t>Institute</w:t>
      </w:r>
      <w:proofErr w:type="spellEnd"/>
    </w:p>
    <w:p w:rsidR="008E206A" w:rsidRPr="005822B2" w:rsidRDefault="008E206A">
      <w:pPr>
        <w:rPr>
          <w:b/>
        </w:rPr>
      </w:pPr>
      <w:r w:rsidRPr="005822B2">
        <w:rPr>
          <w:b/>
        </w:rPr>
        <w:t xml:space="preserve">SESA: </w:t>
      </w:r>
      <w:r w:rsidRPr="005822B2">
        <w:t>Servicios Estatales de Salud</w:t>
      </w:r>
    </w:p>
    <w:p w:rsidR="008E206A" w:rsidRPr="005822B2" w:rsidRDefault="008E206A">
      <w:pPr>
        <w:rPr>
          <w:b/>
        </w:rPr>
      </w:pPr>
      <w:r w:rsidRPr="005822B2">
        <w:rPr>
          <w:b/>
        </w:rPr>
        <w:t xml:space="preserve">ASTM: </w:t>
      </w:r>
      <w:r w:rsidRPr="005822B2">
        <w:t xml:space="preserve">American </w:t>
      </w:r>
      <w:proofErr w:type="spellStart"/>
      <w:r w:rsidRPr="005822B2">
        <w:t>Society</w:t>
      </w:r>
      <w:proofErr w:type="spellEnd"/>
      <w:r w:rsidRPr="005822B2">
        <w:t xml:space="preserve"> </w:t>
      </w:r>
      <w:proofErr w:type="spellStart"/>
      <w:r w:rsidRPr="005822B2">
        <w:t>for</w:t>
      </w:r>
      <w:proofErr w:type="spellEnd"/>
      <w:r w:rsidRPr="005822B2">
        <w:t xml:space="preserve"> </w:t>
      </w:r>
      <w:proofErr w:type="spellStart"/>
      <w:r w:rsidRPr="005822B2">
        <w:t>Testing</w:t>
      </w:r>
      <w:proofErr w:type="spellEnd"/>
      <w:r w:rsidRPr="005822B2">
        <w:t xml:space="preserve"> and </w:t>
      </w:r>
      <w:proofErr w:type="spellStart"/>
      <w:r w:rsidRPr="005822B2">
        <w:t>Materials</w:t>
      </w:r>
      <w:proofErr w:type="spellEnd"/>
    </w:p>
    <w:p w:rsidR="008E206A" w:rsidRDefault="008E206A" w:rsidP="00721AA7">
      <w:pPr>
        <w:jc w:val="both"/>
        <w:rPr>
          <w:b/>
        </w:rPr>
      </w:pPr>
      <w:r w:rsidRPr="005822B2">
        <w:rPr>
          <w:b/>
        </w:rPr>
        <w:t xml:space="preserve">B.I.M.: </w:t>
      </w:r>
      <w:r w:rsidRPr="005822B2">
        <w:t>(</w:t>
      </w:r>
      <w:proofErr w:type="spellStart"/>
      <w:r w:rsidRPr="005822B2">
        <w:t>Building</w:t>
      </w:r>
      <w:proofErr w:type="spellEnd"/>
      <w:r w:rsidRPr="005822B2">
        <w:t xml:space="preserve"> </w:t>
      </w:r>
      <w:proofErr w:type="spellStart"/>
      <w:r w:rsidRPr="005822B2">
        <w:t>Information</w:t>
      </w:r>
      <w:proofErr w:type="spellEnd"/>
      <w:r w:rsidRPr="005822B2">
        <w:t xml:space="preserve"> </w:t>
      </w:r>
      <w:proofErr w:type="spellStart"/>
      <w:r w:rsidRPr="005822B2">
        <w:t>Modeling</w:t>
      </w:r>
      <w:proofErr w:type="spellEnd"/>
      <w:r w:rsidRPr="005822B2">
        <w:t>) Modelo de información para la construcción. Se refiere a la metodología de trabajo colaborativo, basado en plataformas y paquetes computacionales dinámicos de modelado en tres dimensiones para la generación y gestión de información PE. Este proceso abarca la representación digital geométrica de los elementos (arquitectónicos, estructurales y de sistemas) que integran el proyecto, así como las propiedades de sus componentes.</w:t>
      </w:r>
    </w:p>
    <w:p w:rsidR="008E206A" w:rsidRDefault="00AE7A46" w:rsidP="00721AA7">
      <w:pPr>
        <w:jc w:val="both"/>
        <w:rPr>
          <w:b/>
        </w:rPr>
      </w:pPr>
      <w:r>
        <w:rPr>
          <w:b/>
        </w:rPr>
        <w:t xml:space="preserve">Finiquito: </w:t>
      </w:r>
      <w:r w:rsidRPr="00A72A80">
        <w:t>Procedimiento jurídico-administrativo consistente en integrar</w:t>
      </w:r>
      <w:r w:rsidR="00721AA7" w:rsidRPr="00A72A80">
        <w:t xml:space="preserve"> los documentos derivados del contrato de servicios relacionados con obra pública, a efecto de que el contratante y el contratista, den por terminados los derechos y obligaciones estipulados en el contrato correspondiente.</w:t>
      </w:r>
    </w:p>
    <w:p w:rsidR="008E206A" w:rsidRDefault="00721AA7">
      <w:pPr>
        <w:rPr>
          <w:b/>
        </w:rPr>
      </w:pPr>
      <w:r>
        <w:rPr>
          <w:b/>
        </w:rPr>
        <w:t xml:space="preserve">LEY/LOPSRMQROO: </w:t>
      </w:r>
      <w:r w:rsidRPr="00A72A80">
        <w:t>Ley de Obras Públicas y Servicios Relacionados con las Mismas del Estado d</w:t>
      </w:r>
      <w:r w:rsidR="00A72A80" w:rsidRPr="00A72A80">
        <w:t>e</w:t>
      </w:r>
      <w:r w:rsidRPr="00A72A80">
        <w:t xml:space="preserve"> Quintana Roo.</w:t>
      </w:r>
    </w:p>
    <w:p w:rsidR="00721AA7" w:rsidRDefault="00721AA7">
      <w:pPr>
        <w:rPr>
          <w:b/>
        </w:rPr>
      </w:pPr>
      <w:r w:rsidRPr="00ED4C85">
        <w:rPr>
          <w:b/>
          <w:bCs/>
          <w:color w:val="000000"/>
          <w:lang w:val="es-ES" w:eastAsia="es-ES"/>
        </w:rPr>
        <w:t xml:space="preserve">REGLAMENTO: </w:t>
      </w:r>
      <w:r w:rsidRPr="00ED4C85">
        <w:rPr>
          <w:color w:val="000000"/>
          <w:lang w:val="es-ES" w:eastAsia="es-ES"/>
        </w:rPr>
        <w:t>Reglamento de la LOPSRM</w:t>
      </w:r>
      <w:r>
        <w:rPr>
          <w:color w:val="000000"/>
          <w:lang w:val="es-ES" w:eastAsia="es-ES"/>
        </w:rPr>
        <w:t>QROO</w:t>
      </w:r>
    </w:p>
    <w:p w:rsidR="00721AA7" w:rsidRDefault="00721AA7" w:rsidP="00A72A80">
      <w:pPr>
        <w:jc w:val="both"/>
        <w:rPr>
          <w:b/>
        </w:rPr>
      </w:pPr>
      <w:r>
        <w:rPr>
          <w:b/>
        </w:rPr>
        <w:t xml:space="preserve">Licitante que resulte adjudicado: </w:t>
      </w:r>
      <w:r w:rsidRPr="00A72A80">
        <w:t>Persona física o moral que celebra el contrato de servicios relacionados con la obra pública para el desarrollo del proyecto estructural, también denominado contratista.</w:t>
      </w:r>
    </w:p>
    <w:p w:rsidR="00721AA7" w:rsidRPr="00A72A80" w:rsidRDefault="00721AA7" w:rsidP="00721AA7">
      <w:pPr>
        <w:jc w:val="both"/>
      </w:pPr>
      <w:r w:rsidRPr="00721AA7">
        <w:rPr>
          <w:b/>
        </w:rPr>
        <w:t xml:space="preserve">NORMA OFICIAL MEXICANA (NOM): </w:t>
      </w:r>
      <w:r w:rsidRPr="00A72A80">
        <w:t>Regulación técnica de observancia obligatoria expedida por las dependencias competentes,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así como aquellas relativas a terminología, simbología, embalaje, marcado o etiquetado y las que se refieran a su cumplimiento o aplicación</w:t>
      </w:r>
      <w:r w:rsidR="00A72A80">
        <w:t>.</w:t>
      </w:r>
    </w:p>
    <w:p w:rsidR="00721AA7" w:rsidRPr="00ED4C85" w:rsidRDefault="00721AA7" w:rsidP="00721AA7">
      <w:pPr>
        <w:autoSpaceDE w:val="0"/>
        <w:spacing w:after="80" w:line="240" w:lineRule="auto"/>
        <w:jc w:val="both"/>
        <w:rPr>
          <w:color w:val="000000"/>
          <w:lang w:eastAsia="es-ES"/>
        </w:rPr>
      </w:pPr>
      <w:r w:rsidRPr="00ED4C85">
        <w:rPr>
          <w:b/>
          <w:bCs/>
          <w:color w:val="000000"/>
          <w:lang w:eastAsia="es-ES"/>
        </w:rPr>
        <w:lastRenderedPageBreak/>
        <w:t>NORMA O LINEAMIENTO EXTRANJERO:</w:t>
      </w:r>
      <w:r w:rsidRPr="00ED4C85">
        <w:rPr>
          <w:color w:val="000000"/>
          <w:lang w:eastAsia="es-ES"/>
        </w:rPr>
        <w:t xml:space="preserve"> Regulación técnica que expide el gobierno de otro país, o bien, sus organismos nacionales de normalización, y cuya aplicación es de carácter local, por lo cual, no están reconocidas por el Gobierno de México en los términos del derecho Internacional las Normas o lineamientos elaborados por Organismos tales como: DIN, JIS, ASME, API, ASTM, NEMA, NFPA, ANSI, IBC, ASHRAE y otros similares.</w:t>
      </w:r>
    </w:p>
    <w:p w:rsidR="00721AA7" w:rsidRDefault="00721AA7" w:rsidP="00721AA7">
      <w:pPr>
        <w:jc w:val="both"/>
        <w:rPr>
          <w:b/>
        </w:rPr>
      </w:pPr>
      <w:r w:rsidRPr="00ED4C85">
        <w:rPr>
          <w:b/>
          <w:lang w:eastAsia="es-ES"/>
        </w:rPr>
        <w:t>RESIDENTE DE SERVICIOS</w:t>
      </w:r>
      <w:r w:rsidRPr="00ED4C85">
        <w:rPr>
          <w:lang w:eastAsia="es-ES"/>
        </w:rPr>
        <w:t xml:space="preserve">: Autoridad técnica y </w:t>
      </w:r>
      <w:r>
        <w:rPr>
          <w:lang w:eastAsia="es-ES"/>
        </w:rPr>
        <w:t>administrativa representante de SESA</w:t>
      </w:r>
      <w:r w:rsidRPr="00ED4C85">
        <w:rPr>
          <w:lang w:eastAsia="es-ES"/>
        </w:rPr>
        <w:t xml:space="preserve"> responsable de la administración y dirección de los servicios</w:t>
      </w:r>
    </w:p>
    <w:p w:rsidR="00721AA7" w:rsidRDefault="00721AA7" w:rsidP="00721AA7">
      <w:pPr>
        <w:jc w:val="both"/>
        <w:rPr>
          <w:color w:val="000000"/>
          <w:lang w:eastAsia="es-ES"/>
        </w:rPr>
      </w:pPr>
      <w:r w:rsidRPr="00ED4C85">
        <w:rPr>
          <w:b/>
          <w:bCs/>
          <w:color w:val="000000"/>
          <w:lang w:eastAsia="es-ES"/>
        </w:rPr>
        <w:t>RESPONSABLE SOLIDARIO</w:t>
      </w:r>
      <w:r w:rsidRPr="00ED4C85">
        <w:rPr>
          <w:color w:val="000000"/>
          <w:lang w:eastAsia="es-ES"/>
        </w:rPr>
        <w:t xml:space="preserve">: El Contratista se constituye en </w:t>
      </w:r>
      <w:r w:rsidRPr="00ED4C85">
        <w:rPr>
          <w:color w:val="000000"/>
          <w:spacing w:val="-2"/>
          <w:lang w:eastAsia="es-ES"/>
        </w:rPr>
        <w:t xml:space="preserve">responsable solidario, cuando por sus actos u omisiones se causen daños y perjuicios </w:t>
      </w:r>
      <w:r w:rsidRPr="00ED4C85">
        <w:rPr>
          <w:color w:val="000000"/>
          <w:lang w:eastAsia="es-ES"/>
        </w:rPr>
        <w:t xml:space="preserve">a </w:t>
      </w:r>
      <w:r>
        <w:rPr>
          <w:b/>
          <w:bCs/>
          <w:color w:val="000000"/>
          <w:lang w:eastAsia="es-ES"/>
        </w:rPr>
        <w:t>SESA</w:t>
      </w:r>
      <w:r w:rsidRPr="00ED4C85">
        <w:rPr>
          <w:b/>
          <w:bCs/>
          <w:color w:val="000000"/>
          <w:lang w:eastAsia="es-ES"/>
        </w:rPr>
        <w:t xml:space="preserve"> </w:t>
      </w:r>
      <w:r w:rsidRPr="00ED4C85">
        <w:rPr>
          <w:color w:val="000000"/>
          <w:lang w:eastAsia="es-ES"/>
        </w:rPr>
        <w:t>y/o a terceros</w:t>
      </w:r>
    </w:p>
    <w:p w:rsidR="003C0BC6" w:rsidRDefault="003C0BC6" w:rsidP="003C0BC6">
      <w:pPr>
        <w:jc w:val="both"/>
        <w:rPr>
          <w:color w:val="000000"/>
          <w:lang w:eastAsia="es-ES"/>
        </w:rPr>
      </w:pPr>
      <w:r>
        <w:rPr>
          <w:b/>
          <w:color w:val="000000"/>
          <w:lang w:eastAsia="es-ES"/>
        </w:rPr>
        <w:t>PERITO</w:t>
      </w:r>
      <w:r>
        <w:rPr>
          <w:color w:val="000000"/>
          <w:lang w:eastAsia="es-ES"/>
        </w:rPr>
        <w:t>: Perito corresponsable de obra.</w:t>
      </w:r>
    </w:p>
    <w:p w:rsidR="003D4CA9" w:rsidRDefault="003D4CA9" w:rsidP="003C0BC6">
      <w:pPr>
        <w:jc w:val="both"/>
        <w:rPr>
          <w:b/>
        </w:rPr>
      </w:pPr>
      <w:r w:rsidRPr="003D4CA9">
        <w:rPr>
          <w:b/>
          <w:color w:val="000000"/>
          <w:lang w:eastAsia="es-ES"/>
        </w:rPr>
        <w:t>TR:</w:t>
      </w:r>
      <w:r>
        <w:rPr>
          <w:color w:val="000000"/>
          <w:lang w:eastAsia="es-ES"/>
        </w:rPr>
        <w:t xml:space="preserve"> Términos de Referencia</w:t>
      </w:r>
    </w:p>
    <w:p w:rsidR="008E206A" w:rsidRDefault="008E206A">
      <w:pPr>
        <w:rPr>
          <w:b/>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721AA7" w:rsidRDefault="00721AA7" w:rsidP="00FD5EDB">
      <w:pPr>
        <w:jc w:val="center"/>
        <w:rPr>
          <w:b/>
          <w:sz w:val="24"/>
        </w:rPr>
      </w:pPr>
    </w:p>
    <w:p w:rsidR="005822B2" w:rsidRDefault="005822B2" w:rsidP="00FD5EDB">
      <w:pPr>
        <w:jc w:val="center"/>
        <w:rPr>
          <w:b/>
          <w:sz w:val="24"/>
        </w:rPr>
      </w:pPr>
    </w:p>
    <w:p w:rsidR="00A72A80" w:rsidRDefault="00A72A80" w:rsidP="005822B2">
      <w:pPr>
        <w:rPr>
          <w:b/>
          <w:sz w:val="24"/>
        </w:rPr>
      </w:pPr>
    </w:p>
    <w:p w:rsidR="00FD5EDB" w:rsidRDefault="003074F3" w:rsidP="00FD5EDB">
      <w:pPr>
        <w:jc w:val="center"/>
        <w:rPr>
          <w:b/>
          <w:sz w:val="24"/>
        </w:rPr>
      </w:pPr>
      <w:r w:rsidRPr="003074F3">
        <w:rPr>
          <w:b/>
          <w:sz w:val="24"/>
        </w:rPr>
        <w:lastRenderedPageBreak/>
        <w:t>DISPOSICIONES GENERALES</w:t>
      </w:r>
    </w:p>
    <w:p w:rsidR="00CF551D" w:rsidRPr="00CF551D" w:rsidRDefault="00CF551D" w:rsidP="00CF551D">
      <w:pPr>
        <w:jc w:val="both"/>
      </w:pPr>
      <w:r w:rsidRPr="00CF551D">
        <w:t>El presente documento tiene como finalidad, establecer los requisitos, condiciones y alcances que los licitantes parti</w:t>
      </w:r>
      <w:r>
        <w:t>cipantes</w:t>
      </w:r>
      <w:r w:rsidRPr="00CF551D">
        <w:t xml:space="preserve"> deben cumplir y presentar en sus proposiciones técnico-económico</w:t>
      </w:r>
      <w:r>
        <w:t>, relativo a la contratación del Servicio del Proyecto Ejecutivo para el n</w:t>
      </w:r>
      <w:r w:rsidRPr="00CF551D">
        <w:t xml:space="preserve">uevo Hospital General de </w:t>
      </w:r>
      <w:r w:rsidR="005822B2">
        <w:t>Felipe Carrillo Puerto</w:t>
      </w:r>
      <w:r w:rsidRPr="00CF551D">
        <w:t xml:space="preserve">, que se ubicará en </w:t>
      </w:r>
      <w:r w:rsidR="005822B2">
        <w:t>la ciudad de Felipe Carrillo Puerto</w:t>
      </w:r>
      <w:r w:rsidRPr="00CF551D">
        <w:t>, con base en la información y documentación técnica generada por los Servicios Estatales de Salud y que se entregan con los presentes términos de referencia.</w:t>
      </w:r>
    </w:p>
    <w:p w:rsidR="00CF551D" w:rsidRDefault="00CF551D" w:rsidP="00CF551D">
      <w:pPr>
        <w:jc w:val="both"/>
      </w:pPr>
      <w:r w:rsidRPr="00CF551D">
        <w:t xml:space="preserve">En los presentes términos de referencia se establecen los criterios generales, particulares y específicos que deben ser observados por los licitantes y aplicados por el </w:t>
      </w:r>
      <w:r>
        <w:t>licitante adjudicado</w:t>
      </w:r>
      <w:r w:rsidRPr="00CF551D">
        <w:t xml:space="preserve"> para resolver técnica y constructivamente el cálculo, debiendo apegarse en su desarrollo a la normatividad, reglamentación y especificaciones vigentes y aplicables de carácter federal, estatal, municipal e internacional, aplicando las que garanticen las mayores y mejores condiciones de seguridad.</w:t>
      </w:r>
      <w:r>
        <w:t xml:space="preserve"> </w:t>
      </w:r>
    </w:p>
    <w:p w:rsidR="008D76E6" w:rsidRDefault="008D76E6" w:rsidP="00CF551D">
      <w:pPr>
        <w:jc w:val="both"/>
      </w:pPr>
      <w:r>
        <w:t>Con lo anterior se tendrá en cuenta lo siguiente:</w:t>
      </w:r>
    </w:p>
    <w:p w:rsidR="00FD5EDB" w:rsidRDefault="003074F3" w:rsidP="008E206A">
      <w:pPr>
        <w:jc w:val="both"/>
      </w:pPr>
      <w:r w:rsidRPr="003074F3">
        <w:t xml:space="preserve">I.- </w:t>
      </w:r>
      <w:r>
        <w:t>L</w:t>
      </w:r>
      <w:r w:rsidR="00D84530">
        <w:t>os Servicios Estatales de Salud</w:t>
      </w:r>
      <w:r>
        <w:t xml:space="preserve"> es la Autori</w:t>
      </w:r>
      <w:r w:rsidR="00D84530">
        <w:t>dad Máxima en todo referente al proyecto.</w:t>
      </w:r>
    </w:p>
    <w:p w:rsidR="007C1C6D" w:rsidRDefault="00D84530" w:rsidP="008E206A">
      <w:pPr>
        <w:jc w:val="both"/>
      </w:pPr>
      <w:r>
        <w:t>II.- Los Servicios Estatales de Salud a través de la Dirección de Desarrollo de Infraestructura en Salud, tiene la responsabilidad de dirigir, coordinar y orientar</w:t>
      </w:r>
      <w:r w:rsidR="007C1C6D">
        <w:t xml:space="preserve"> a</w:t>
      </w:r>
      <w:r w:rsidR="001133F9">
        <w:t xml:space="preserve"> los grupos de trabajo para la </w:t>
      </w:r>
      <w:r w:rsidR="000F7606">
        <w:t>realización del proyecto</w:t>
      </w:r>
      <w:r w:rsidR="007C1C6D">
        <w:t>.</w:t>
      </w:r>
    </w:p>
    <w:p w:rsidR="007C1C6D" w:rsidRDefault="007C1C6D" w:rsidP="008E206A">
      <w:pPr>
        <w:jc w:val="both"/>
      </w:pPr>
      <w:r>
        <w:t>III.- En el proceso de</w:t>
      </w:r>
      <w:r w:rsidR="00A72A80">
        <w:t xml:space="preserve"> </w:t>
      </w:r>
      <w:r>
        <w:t>l</w:t>
      </w:r>
      <w:r w:rsidR="00A72A80">
        <w:t>a</w:t>
      </w:r>
      <w:r>
        <w:t xml:space="preserve"> </w:t>
      </w:r>
      <w:r w:rsidR="00A72A80">
        <w:t>elaboración del proyecto ejecutivo</w:t>
      </w:r>
      <w:r>
        <w:t>, toda propuesta de cambio al proyecto que se presente</w:t>
      </w:r>
      <w:r w:rsidR="00CF551D">
        <w:t xml:space="preserve"> </w:t>
      </w:r>
      <w:r w:rsidR="00CF551D" w:rsidRPr="00CF551D">
        <w:t>que garanticen la calidad, funcionamiento y viabilidad</w:t>
      </w:r>
      <w:r w:rsidR="00CF551D">
        <w:t xml:space="preserve">, así como los </w:t>
      </w:r>
      <w:r w:rsidR="008D76E6">
        <w:t xml:space="preserve">parámetros </w:t>
      </w:r>
      <w:r w:rsidR="008D76E6" w:rsidRPr="008D76E6">
        <w:t>normativos, ecológicos, legales</w:t>
      </w:r>
      <w:r w:rsidR="008D76E6">
        <w:t>,</w:t>
      </w:r>
      <w:r>
        <w:t xml:space="preserve"> deberá ser </w:t>
      </w:r>
      <w:r w:rsidR="001133F9">
        <w:t>notificada a</w:t>
      </w:r>
      <w:r>
        <w:t xml:space="preserve"> la Dirección de Desarrollo de infraestructura</w:t>
      </w:r>
      <w:r w:rsidR="005E0600">
        <w:t xml:space="preserve"> </w:t>
      </w:r>
      <w:r>
        <w:t>en Salud de los Servicios Estatales de Salud</w:t>
      </w:r>
      <w:r w:rsidR="001133F9">
        <w:t xml:space="preserve">, </w:t>
      </w:r>
      <w:r w:rsidR="008D76E6">
        <w:t>que revisará y</w:t>
      </w:r>
      <w:r w:rsidR="001133F9">
        <w:t xml:space="preserve"> en su caso será autorizada</w:t>
      </w:r>
      <w:r w:rsidR="001B1AA2">
        <w:t xml:space="preserve"> por la misma Dirección</w:t>
      </w:r>
      <w:r>
        <w:t>.</w:t>
      </w:r>
    </w:p>
    <w:p w:rsidR="00CF551D" w:rsidRDefault="007C1C6D" w:rsidP="008E206A">
      <w:pPr>
        <w:jc w:val="both"/>
      </w:pPr>
      <w:r>
        <w:t xml:space="preserve">IV.- </w:t>
      </w:r>
      <w:r w:rsidR="005E0600">
        <w:t xml:space="preserve">Los avances deberán presentarse </w:t>
      </w:r>
      <w:r w:rsidR="001133F9">
        <w:t>a</w:t>
      </w:r>
      <w:r w:rsidR="005E0600">
        <w:t xml:space="preserve"> la Dirección de Desarrollo de Infraestructura en Salud en períodos </w:t>
      </w:r>
      <w:r w:rsidR="00027270">
        <w:t xml:space="preserve">máximos </w:t>
      </w:r>
      <w:r w:rsidR="005E0600">
        <w:t xml:space="preserve">de </w:t>
      </w:r>
      <w:r w:rsidR="00027270">
        <w:t>25</w:t>
      </w:r>
      <w:r w:rsidR="005E0600">
        <w:t xml:space="preserve"> días</w:t>
      </w:r>
      <w:r w:rsidR="001133F9">
        <w:t xml:space="preserve"> hasta su conclusión</w:t>
      </w:r>
      <w:r w:rsidR="005E0600">
        <w:t>.</w:t>
      </w:r>
    </w:p>
    <w:p w:rsidR="00FD6860" w:rsidRDefault="00FD6860"/>
    <w:p w:rsidR="008D76E6" w:rsidRDefault="008D76E6" w:rsidP="00FD6860">
      <w:pPr>
        <w:jc w:val="center"/>
        <w:rPr>
          <w:b/>
          <w:sz w:val="24"/>
        </w:rPr>
      </w:pPr>
    </w:p>
    <w:p w:rsidR="008D76E6" w:rsidRDefault="008D76E6" w:rsidP="00FD6860">
      <w:pPr>
        <w:jc w:val="center"/>
        <w:rPr>
          <w:b/>
          <w:sz w:val="24"/>
        </w:rPr>
      </w:pPr>
    </w:p>
    <w:p w:rsidR="003D4CA9" w:rsidRDefault="003D4CA9" w:rsidP="00FD6860">
      <w:pPr>
        <w:jc w:val="center"/>
        <w:rPr>
          <w:b/>
          <w:sz w:val="24"/>
        </w:rPr>
      </w:pPr>
    </w:p>
    <w:p w:rsidR="00FD6860" w:rsidRDefault="008D76E6" w:rsidP="00FD6860">
      <w:pPr>
        <w:jc w:val="center"/>
        <w:rPr>
          <w:b/>
          <w:sz w:val="24"/>
        </w:rPr>
      </w:pPr>
      <w:r>
        <w:rPr>
          <w:b/>
          <w:sz w:val="24"/>
        </w:rPr>
        <w:t>OBJETO DEL SERVICIO</w:t>
      </w:r>
    </w:p>
    <w:p w:rsidR="008D76E6" w:rsidRDefault="008D76E6" w:rsidP="008D76E6">
      <w:pPr>
        <w:jc w:val="both"/>
      </w:pPr>
      <w:r>
        <w:t xml:space="preserve">El objeto del servicio a realizar por parte del Licitante adjudicado, al Proyecto ejecutivo para el nuevo Hospital General de </w:t>
      </w:r>
      <w:r w:rsidR="005822B2">
        <w:t>Felipe Carrillo Puerto</w:t>
      </w:r>
      <w:r>
        <w:t>, mismo que incluye de manera enunciativa más no limitativa, lo siguiente:</w:t>
      </w:r>
    </w:p>
    <w:p w:rsidR="008D76E6" w:rsidRDefault="008D76E6" w:rsidP="008D76E6">
      <w:pPr>
        <w:jc w:val="both"/>
      </w:pPr>
      <w:r>
        <w:t xml:space="preserve">El Proyecto Ejecutivo para el nuevo Hospital General de </w:t>
      </w:r>
      <w:r w:rsidR="005822B2">
        <w:t>Felipe Carrillo Puerto</w:t>
      </w:r>
      <w:r>
        <w:t xml:space="preserve">, que comprende el desarrollo y entrega a los Servicios Estatales de Salud de toda la información de las ingenierías del proyecto ejecutivo, y que genere el conjunto de planos que conforman el proyecto, mismos que deben ser desarrollados en el programa </w:t>
      </w:r>
      <w:proofErr w:type="spellStart"/>
      <w:r>
        <w:t>Autocad</w:t>
      </w:r>
      <w:proofErr w:type="spellEnd"/>
      <w:r>
        <w:t>, además de la elaboración y entrega de la memoria de los cálculos de ingeniería, el catálogo de conceptos y cantidades de obra, análisis de precios unitarios e información requerida para la ejecución de los servicios de acuerdo a estos términos de referencia.</w:t>
      </w:r>
    </w:p>
    <w:p w:rsidR="00FD6860" w:rsidRDefault="008D76E6" w:rsidP="008D76E6">
      <w:pPr>
        <w:jc w:val="both"/>
      </w:pPr>
      <w:r>
        <w:t>El servicio del proyecto ejecutivo debe ser desarrollado considerando la planta arquitectónica entregada y demás, debiendo cumplir con la normatividad, reglamentación y especificaciones vigentes y aplicables de carácter Federal, Estatal, Municipal e Internacional aplicable en la materia.</w:t>
      </w:r>
    </w:p>
    <w:p w:rsidR="003C0BC6" w:rsidRDefault="003C0BC6"/>
    <w:p w:rsidR="003C0BC6" w:rsidRDefault="003C0BC6"/>
    <w:p w:rsidR="008D76E6" w:rsidRDefault="008D76E6"/>
    <w:p w:rsidR="008D76E6" w:rsidRDefault="008D76E6"/>
    <w:p w:rsidR="008D76E6" w:rsidRDefault="008D76E6"/>
    <w:p w:rsidR="008D76E6" w:rsidRDefault="008D76E6"/>
    <w:p w:rsidR="008D76E6" w:rsidRDefault="008D76E6"/>
    <w:p w:rsidR="003D4CA9" w:rsidRDefault="003D4CA9"/>
    <w:p w:rsidR="005822B2" w:rsidRDefault="005822B2"/>
    <w:p w:rsidR="008D76E6" w:rsidRPr="004B6E8A" w:rsidRDefault="008D76E6" w:rsidP="008D76E6">
      <w:pPr>
        <w:jc w:val="center"/>
        <w:rPr>
          <w:b/>
        </w:rPr>
      </w:pPr>
      <w:r w:rsidRPr="004B6E8A">
        <w:rPr>
          <w:b/>
        </w:rPr>
        <w:t>OBLIGACIONES</w:t>
      </w:r>
    </w:p>
    <w:p w:rsidR="008D76E6" w:rsidRDefault="008D76E6" w:rsidP="008D76E6">
      <w:pPr>
        <w:jc w:val="both"/>
      </w:pPr>
      <w:r>
        <w:t>Son obligaciones tanto de los licitantes (durante la conformación y presentación de sus proposiciones técnico-económicas), como para el licitante que resulte adjudicado en el desarrollo del servicio, las que a continuación se detallan de manera enunciativa más no limitativa:</w:t>
      </w:r>
    </w:p>
    <w:p w:rsidR="008D76E6" w:rsidRDefault="008D76E6" w:rsidP="008D76E6">
      <w:pPr>
        <w:pStyle w:val="Prrafodelista"/>
        <w:numPr>
          <w:ilvl w:val="0"/>
          <w:numId w:val="5"/>
        </w:numPr>
        <w:jc w:val="both"/>
      </w:pPr>
      <w:r>
        <w:t>Los profesionistas que proponga el licitante para el desarrollo de los trabajos, de acuerdo a lo solicitado, deben acreditar experiencia en la ejecución de los servicios de características y magnitud similares al objeto de este servicio o de mayor complejidad, considerando y aplicando además, lo establecido por la convocante.</w:t>
      </w:r>
    </w:p>
    <w:p w:rsidR="008D76E6" w:rsidRDefault="008D76E6" w:rsidP="008D76E6">
      <w:pPr>
        <w:pStyle w:val="Prrafodelista"/>
        <w:numPr>
          <w:ilvl w:val="0"/>
          <w:numId w:val="5"/>
        </w:numPr>
        <w:jc w:val="both"/>
      </w:pPr>
      <w:r w:rsidRPr="001C6C09">
        <w:t>Los licitantes no deben incluir en la Plantilla de Personal Técnico, al personal administrativo de apoyo</w:t>
      </w:r>
    </w:p>
    <w:p w:rsidR="008D76E6" w:rsidRPr="001C6C09" w:rsidRDefault="008D76E6" w:rsidP="008D76E6">
      <w:pPr>
        <w:pStyle w:val="Prrafodelista"/>
        <w:numPr>
          <w:ilvl w:val="0"/>
          <w:numId w:val="5"/>
        </w:numPr>
        <w:jc w:val="both"/>
      </w:pPr>
      <w:r w:rsidRPr="001C6C09">
        <w:t>E</w:t>
      </w:r>
      <w:r>
        <w:t xml:space="preserve">l Contratista debe garantizar a la SESA </w:t>
      </w:r>
      <w:r w:rsidRPr="001C6C09">
        <w:t xml:space="preserve">la sustitución inmediata, del (los) especialista(s), cuando el Responsable </w:t>
      </w:r>
      <w:r>
        <w:t>Técnico o Residente de Obra de la SESA</w:t>
      </w:r>
      <w:r w:rsidRPr="001C6C09">
        <w:t xml:space="preserve"> detecte en éste (éstos), falta de probidad, profesionalismo </w:t>
      </w:r>
      <w:proofErr w:type="spellStart"/>
      <w:r w:rsidRPr="001C6C09">
        <w:t>ó</w:t>
      </w:r>
      <w:proofErr w:type="spellEnd"/>
      <w:r w:rsidRPr="001C6C09">
        <w:t xml:space="preserve"> en cualquier situación de caso fortuito o de fuerza mayor que le(s) impida(n) realizar las funciones a las que está(n) obligado(s) una vez adjudicado el contrato. En cuyo caso deberá proponer a</w:t>
      </w:r>
      <w:r>
        <w:t xml:space="preserve"> </w:t>
      </w:r>
      <w:r w:rsidRPr="001C6C09">
        <w:t>l</w:t>
      </w:r>
      <w:r>
        <w:t>a</w:t>
      </w:r>
      <w:r w:rsidRPr="001C6C09">
        <w:t xml:space="preserve"> S</w:t>
      </w:r>
      <w:r>
        <w:t>ESA</w:t>
      </w:r>
      <w:r w:rsidRPr="001C6C09">
        <w:t xml:space="preserve"> al (los) especialista(s) sustituto(s), mediante la presentación del (los) </w:t>
      </w:r>
      <w:proofErr w:type="spellStart"/>
      <w:r w:rsidRPr="001C6C09">
        <w:t>curriculum</w:t>
      </w:r>
      <w:proofErr w:type="spellEnd"/>
      <w:r w:rsidRPr="001C6C09">
        <w:t>(s) propuesto(s), para su valoración y en su caso, aprobación.</w:t>
      </w:r>
    </w:p>
    <w:p w:rsidR="008D76E6" w:rsidRPr="001C6C09" w:rsidRDefault="008D76E6" w:rsidP="008D76E6">
      <w:pPr>
        <w:pStyle w:val="Prrafodelista"/>
        <w:numPr>
          <w:ilvl w:val="0"/>
          <w:numId w:val="5"/>
        </w:numPr>
        <w:jc w:val="both"/>
      </w:pPr>
      <w:r w:rsidRPr="001C6C09">
        <w:t>Conocer y aplicar los TR y sus Anexos, así como la do</w:t>
      </w:r>
      <w:r>
        <w:t>cumentación proporcionada por la</w:t>
      </w:r>
      <w:r w:rsidRPr="001C6C09">
        <w:t xml:space="preserve"> </w:t>
      </w:r>
      <w:r>
        <w:t>SESA</w:t>
      </w:r>
      <w:r w:rsidRPr="001C6C09">
        <w:t xml:space="preserve">, para la conformación de las proposiciones técnico-económicas, los cuales son de observancia obligatoria para el </w:t>
      </w:r>
      <w:r w:rsidR="003D4CA9">
        <w:t xml:space="preserve">licitante </w:t>
      </w:r>
      <w:proofErr w:type="spellStart"/>
      <w:r w:rsidR="003D4CA9">
        <w:t>adjudicato</w:t>
      </w:r>
      <w:proofErr w:type="spellEnd"/>
      <w:r w:rsidRPr="001C6C09">
        <w:t xml:space="preserve"> durante el desarrollo de los servicios.</w:t>
      </w:r>
    </w:p>
    <w:p w:rsidR="008D76E6" w:rsidRPr="0056378C" w:rsidRDefault="008D76E6" w:rsidP="008D76E6">
      <w:pPr>
        <w:pStyle w:val="Prrafodelista"/>
        <w:numPr>
          <w:ilvl w:val="0"/>
          <w:numId w:val="5"/>
        </w:numPr>
        <w:jc w:val="both"/>
      </w:pPr>
      <w:r w:rsidRPr="0056378C">
        <w:t>Conocer y cumplir las Normas de orden Federal, Estatal, Local e Internacional que resulten aplicables.</w:t>
      </w:r>
    </w:p>
    <w:p w:rsidR="008D76E6" w:rsidRPr="0056378C" w:rsidRDefault="008D76E6" w:rsidP="008D76E6">
      <w:pPr>
        <w:pStyle w:val="Prrafodelista"/>
        <w:numPr>
          <w:ilvl w:val="0"/>
          <w:numId w:val="5"/>
        </w:numPr>
        <w:jc w:val="both"/>
      </w:pPr>
      <w:r w:rsidRPr="0056378C">
        <w:t>En caso de ser necesaria la aplicación de alguna normatividad no prevista en este documento, durante el desarrollo de</w:t>
      </w:r>
      <w:r>
        <w:t xml:space="preserve"> </w:t>
      </w:r>
      <w:r w:rsidRPr="0056378C">
        <w:t>l</w:t>
      </w:r>
      <w:r>
        <w:t>os</w:t>
      </w:r>
      <w:r w:rsidRPr="0056378C">
        <w:t xml:space="preserve"> trabajos, ésta debe so</w:t>
      </w:r>
      <w:r>
        <w:t>meterse a la aprobación de la SESA</w:t>
      </w:r>
      <w:r w:rsidRPr="0056378C">
        <w:t>.</w:t>
      </w:r>
    </w:p>
    <w:p w:rsidR="008D76E6" w:rsidRDefault="008D76E6" w:rsidP="008D76E6">
      <w:pPr>
        <w:pStyle w:val="Prrafodelista"/>
        <w:numPr>
          <w:ilvl w:val="0"/>
          <w:numId w:val="5"/>
        </w:numPr>
        <w:jc w:val="both"/>
      </w:pPr>
      <w:r w:rsidRPr="0056378C">
        <w:t>La normatividad aplicable debe ser la Vigente</w:t>
      </w:r>
    </w:p>
    <w:p w:rsidR="008D76E6" w:rsidRDefault="008D76E6" w:rsidP="008D76E6">
      <w:pPr>
        <w:pStyle w:val="Prrafodelista"/>
        <w:numPr>
          <w:ilvl w:val="0"/>
          <w:numId w:val="5"/>
        </w:numPr>
        <w:jc w:val="both"/>
      </w:pPr>
      <w:r w:rsidRPr="009D2C3E">
        <w:t xml:space="preserve">Una vez adjudicado el contrato, el </w:t>
      </w:r>
      <w:r w:rsidR="003D4CA9">
        <w:t>Licitante adjudicado</w:t>
      </w:r>
      <w:r w:rsidRPr="009D2C3E">
        <w:t xml:space="preserve"> debe ratificar por escrito a</w:t>
      </w:r>
      <w:r>
        <w:t xml:space="preserve"> </w:t>
      </w:r>
      <w:r w:rsidRPr="009D2C3E">
        <w:t>l</w:t>
      </w:r>
      <w:r>
        <w:t>a</w:t>
      </w:r>
      <w:r w:rsidRPr="009D2C3E">
        <w:t xml:space="preserve"> </w:t>
      </w:r>
      <w:r>
        <w:t>SESA</w:t>
      </w:r>
      <w:r w:rsidRPr="009D2C3E">
        <w:t>, a quien designe como el Responsable Técnico para el desarrollo de los servicios.</w:t>
      </w:r>
    </w:p>
    <w:p w:rsidR="008D76E6" w:rsidRDefault="008D76E6" w:rsidP="008D76E6">
      <w:pPr>
        <w:pStyle w:val="Prrafodelista"/>
        <w:numPr>
          <w:ilvl w:val="0"/>
          <w:numId w:val="5"/>
        </w:numPr>
        <w:jc w:val="both"/>
      </w:pPr>
      <w:r w:rsidRPr="009D2C3E">
        <w:lastRenderedPageBreak/>
        <w:t xml:space="preserve">El </w:t>
      </w:r>
      <w:r>
        <w:t xml:space="preserve">proyecto ejecutivo </w:t>
      </w:r>
      <w:r w:rsidRPr="009D2C3E">
        <w:t xml:space="preserve">debe estar firmado por el </w:t>
      </w:r>
      <w:r w:rsidR="003D4CA9">
        <w:t>Perito</w:t>
      </w:r>
      <w:r>
        <w:t xml:space="preserve"> </w:t>
      </w:r>
      <w:r w:rsidRPr="009D2C3E">
        <w:t xml:space="preserve"> debiendo contener: nombre, firma </w:t>
      </w:r>
      <w:r>
        <w:t>y número de cédula profesional</w:t>
      </w:r>
    </w:p>
    <w:p w:rsidR="008D76E6" w:rsidRDefault="008D76E6" w:rsidP="008D76E6">
      <w:pPr>
        <w:pStyle w:val="Prrafodelista"/>
        <w:numPr>
          <w:ilvl w:val="0"/>
          <w:numId w:val="5"/>
        </w:numPr>
        <w:jc w:val="both"/>
      </w:pPr>
      <w:r w:rsidRPr="00DA2946">
        <w:t xml:space="preserve">Es compromiso del </w:t>
      </w:r>
      <w:r w:rsidR="003D4CA9">
        <w:t>Licitante adjudicado</w:t>
      </w:r>
      <w:r w:rsidRPr="00DA2946">
        <w:t xml:space="preserve"> realizar las aclaraciones y/o solucionar</w:t>
      </w:r>
      <w:r>
        <w:t xml:space="preserve"> las dudas del Proyecto </w:t>
      </w:r>
      <w:r w:rsidR="003D4CA9">
        <w:t>ejecutivo</w:t>
      </w:r>
      <w:r w:rsidRPr="00DA2946">
        <w:t xml:space="preserve"> que se presenten durante el desarrollo de los trabajos de construcción de la Unidad Médica.</w:t>
      </w:r>
    </w:p>
    <w:p w:rsidR="008D76E6" w:rsidRPr="00DA2946" w:rsidRDefault="008D76E6" w:rsidP="008D76E6">
      <w:pPr>
        <w:pStyle w:val="Prrafodelista"/>
        <w:numPr>
          <w:ilvl w:val="0"/>
          <w:numId w:val="5"/>
        </w:numPr>
        <w:jc w:val="both"/>
      </w:pPr>
      <w:r>
        <w:t>E</w:t>
      </w:r>
      <w:r w:rsidR="003D4CA9">
        <w:t>l Licitante adjudicado</w:t>
      </w:r>
      <w:r>
        <w:t xml:space="preserve"> será responsable de organizar y convocar a la SESA la celebración de juntas que se realicen bajo calendario, así como las extraordinarias que solicite, las que podrán celebrarse en las oficinas de la Dirección de Desarrollo de Infraestructura en Salud.</w:t>
      </w:r>
    </w:p>
    <w:p w:rsidR="00CA49F4" w:rsidRDefault="00CA49F4" w:rsidP="00CA49F4">
      <w:pPr>
        <w:jc w:val="center"/>
        <w:rPr>
          <w:b/>
        </w:rPr>
      </w:pPr>
    </w:p>
    <w:p w:rsidR="00CA49F4" w:rsidRPr="004B6E8A" w:rsidRDefault="00CA49F4" w:rsidP="00CA49F4">
      <w:pPr>
        <w:jc w:val="center"/>
        <w:rPr>
          <w:b/>
        </w:rPr>
      </w:pPr>
      <w:r w:rsidRPr="004B6E8A">
        <w:rPr>
          <w:b/>
        </w:rPr>
        <w:t>PLAZO DE EJECUCIÓN DEL SERVICIO</w:t>
      </w:r>
    </w:p>
    <w:p w:rsidR="00CA49F4" w:rsidRDefault="00CA49F4" w:rsidP="00CA49F4">
      <w:pPr>
        <w:jc w:val="both"/>
      </w:pPr>
      <w:r>
        <w:t xml:space="preserve">El plazo total para la </w:t>
      </w:r>
      <w:r w:rsidR="005822B2">
        <w:t>ejecución del servicio es de 70</w:t>
      </w:r>
      <w:r>
        <w:t xml:space="preserve"> días naturales, el cual incluye de manera enunciativa más no limitativa, todos los alcances de los servicios indicados en estos términos de referencia.</w:t>
      </w:r>
    </w:p>
    <w:p w:rsidR="00CA49F4" w:rsidRPr="004B6E8A" w:rsidRDefault="00CA49F4" w:rsidP="00CA49F4">
      <w:pPr>
        <w:jc w:val="center"/>
        <w:rPr>
          <w:b/>
        </w:rPr>
      </w:pPr>
      <w:r w:rsidRPr="004B6E8A">
        <w:rPr>
          <w:b/>
        </w:rPr>
        <w:t>NORMAS Y REGLAMENTOS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NOM-030-SSA3-2013, Que establece las características arquitectónicas para facilitar el acceso, tránsito, uso y permanencia de las personas con discapacidad en establecimientos para la atención médica ambulatoria y hospitalaria del Sistema Nacional de Salud. Con fecha 21 de febrero 2012.</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NOM-005-SSA3-2010. Que establece los requerimientos mínimos de infraestructura y equipamiento de establecimientos para la atención médica de pacientes ambulatorios</w:t>
      </w:r>
      <w:r>
        <w:rPr>
          <w:color w:val="000000"/>
          <w:lang w:eastAsia="es-ES"/>
        </w:rPr>
        <w:t>.</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NOM-003-SSA2-1993. Para la disposición de sangre humana y sus componentes con fines terapéuticos. Publicada en el D.O.F. el 18 de julio de 1994.</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NOM-007-SSA3-2011, Para la organización y funcionamiento de los laboratorios clínicos.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NOM-007-SSA2-2016, Para la atención de la mujer durante el embarazo, parto y puerperio, y de la persona recién nacido. Con fecha 6 de enero de 1995.</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lastRenderedPageBreak/>
        <w:t>Norma Oficial Mexicana NOM-010-SSA2-1993. Para la prevención y control de la infección por virus de la inmunodeficiencia humana. Publicada en el D.O.F. el 17 de enero de 1995.</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NOM-014-SSA2-1994. Para la prevención, tratamiento y control de cáncer del cuello, el útero y de la mama en la atención primaria. Publicada en el D.O.F. el 16 de enero de 1995.</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NOM-016-SSA3-2012 que establece los requisitos mínimos de infraestructura, y equipamiento de hospitales y consultorios de atención médica especializada.</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NOM-031-SSA2-1999. Para la atención a la salud del niño. Publicada en el D.O.F. el 17 de septiembre de 2003.</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NOM-041-SSA2-2002. Prevención, diagnóstico, tratamiento, control y vigilancia epidemiológica del cáncer de la mama. Publicada en el D.O.F. el 17 de septiembre de 2003.</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NOM-068-SSA1-1993. Que establece las especificaciones sanitarias de los instrumentos quirúrgicos, materiales metálicos de acero inoxidable. Publicada en el D.O.F. el 26 de mayo de 1995</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NOM-087-SSA1-2002. Protección ambiental –Salud ambiental- Residuos peligrosos biológicos – infecciosos – Clasificación y especificaciones de manejo. Publicada en el D.O.F. el 17 de febrero de 2003</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NOM-168-SSA1-1998. Del expediente clínico. Publicada en el D.O.F. el 30 de septiembre de 1999.</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NOM-170-SSA1-1998. Para la práctica de anestesiología. publicada en el D.O.F. el 10 de enero de 2000.</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nom-026-SSA3-2012, para la práctica de la cirugía mayor ambulatoria, con fecha 23 de febrero del 2012.</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nom-027-SSA3-2013, regulación de los servicios de salud. Que establece los criterios de funcionamiento y atención en los servicios de urgencias de los establecimientos para la atención médica, con fecha 22 de febrero de 2012.</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lastRenderedPageBreak/>
        <w:t>Norma Oficial Mexicana NOM-208-SSA1-2002. Regulación de los servicios de salud, para la práctica de la ultrasonografía diagnóstica. Publicada en el D.O.F. el 4 de marzo de 2004.</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NOM-229-SSA1-2002. Salud ambiental. Requisitos técnicos para las instalaciones, responsabilidades sanitarias,</w:t>
      </w:r>
      <w:r>
        <w:rPr>
          <w:color w:val="000000"/>
          <w:lang w:eastAsia="es-ES"/>
        </w:rPr>
        <w:t xml:space="preserve"> </w:t>
      </w:r>
      <w:r w:rsidRPr="00CA49F4">
        <w:rPr>
          <w:color w:val="000000"/>
          <w:lang w:eastAsia="es-ES"/>
        </w:rPr>
        <w:t>especificaciones técnicas para los equipos y protección radiológica en establecimientos de diagnóstico médico con rayos x. publicada en el D.O.F. el 15 de septiembre de 2006</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NOM-012-STPS-1999. Condiciones de seguridad e higiene en los centros de trabajo donde se produzcan, usen, manejen, almacenen o transporten fuentes de radiaciones ionizantes.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NOM-026-STPS-2008, Colores y señales de seguridad e higiene, e identificación de riesgos por fluidos conducidos en tuberías</w:t>
      </w:r>
      <w:r>
        <w:rPr>
          <w:color w:val="000000"/>
          <w:lang w:eastAsia="es-ES"/>
        </w:rPr>
        <w:t>.</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NOM-025-SIPS-1999. Que establece las condiciones de iluminación en los centros de trabajo</w:t>
      </w:r>
      <w:r>
        <w:rPr>
          <w:color w:val="000000"/>
          <w:lang w:eastAsia="es-ES"/>
        </w:rPr>
        <w:t>.</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NOM-01-ECOL-1995. Que establece el contar con instalaciones de agua potable y sistemas de drenaje para los tipos de</w:t>
      </w:r>
      <w:r>
        <w:rPr>
          <w:color w:val="000000"/>
          <w:lang w:eastAsia="es-ES"/>
        </w:rPr>
        <w:t xml:space="preserve"> </w:t>
      </w:r>
      <w:r w:rsidRPr="00CA49F4">
        <w:rPr>
          <w:color w:val="000000"/>
          <w:lang w:eastAsia="es-ES"/>
        </w:rPr>
        <w:t>aparatos, materiales y reactivos que se utilizan con observancia de lo que se indica en la norma.</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NOM-031-NUCL-2011. Requisitos para el entrenamiento del personal ocupacionalmente expuesto a radiaciones ionizantes.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NOM-008-NUCL-2011, Control de la contaminación radiactiva.</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NOM-012-NUCL-2002, Requerimientos y calibración de monitores de radiación ionizante.</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NOM-026-NUCL-2011, Vigilancia médica del personal ocupacionalmente expuesto a radiaciones ionizantes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NOM-034-NUCL-2009, Requerimientos de selección, calificación y entrenamiento del personal de centrales nucleoeléctricas.</w:t>
      </w:r>
    </w:p>
    <w:p w:rsidR="00CA49F4" w:rsidRDefault="00CA49F4" w:rsidP="00CA49F4">
      <w:pPr>
        <w:numPr>
          <w:ilvl w:val="0"/>
          <w:numId w:val="6"/>
        </w:numPr>
        <w:tabs>
          <w:tab w:val="left" w:pos="12480"/>
        </w:tabs>
        <w:autoSpaceDE w:val="0"/>
        <w:spacing w:after="120" w:line="240" w:lineRule="auto"/>
        <w:jc w:val="both"/>
        <w:rPr>
          <w:color w:val="000000"/>
          <w:lang w:eastAsia="es-ES"/>
        </w:rPr>
      </w:pPr>
      <w:r w:rsidRPr="00CA49F4">
        <w:rPr>
          <w:color w:val="000000"/>
          <w:lang w:eastAsia="es-ES"/>
        </w:rPr>
        <w:t>Norma Oficial Mexicana NOM-025-SSA3-2013, Para la organización y funcionamiento de las unidades de cuidados intensivos</w:t>
      </w:r>
    </w:p>
    <w:p w:rsidR="00CA49F4" w:rsidRPr="00CA49F4" w:rsidRDefault="00CA49F4" w:rsidP="00CA49F4">
      <w:pPr>
        <w:numPr>
          <w:ilvl w:val="0"/>
          <w:numId w:val="6"/>
        </w:numPr>
        <w:tabs>
          <w:tab w:val="left" w:pos="12480"/>
        </w:tabs>
        <w:autoSpaceDE w:val="0"/>
        <w:spacing w:after="120" w:line="240" w:lineRule="auto"/>
        <w:jc w:val="both"/>
        <w:rPr>
          <w:color w:val="000000"/>
          <w:lang w:eastAsia="es-ES"/>
        </w:rPr>
      </w:pPr>
      <w:r>
        <w:rPr>
          <w:color w:val="000000"/>
          <w:lang w:eastAsia="es-ES"/>
        </w:rPr>
        <w:lastRenderedPageBreak/>
        <w:t>Norma</w:t>
      </w:r>
      <w:r w:rsidRPr="00CA49F4">
        <w:rPr>
          <w:color w:val="000000"/>
          <w:lang w:eastAsia="es-ES"/>
        </w:rPr>
        <w:t xml:space="preserve"> Oficial Mexicana NOM-249-SSA1-2010, Mezclas estériles: nutricionales y medicamentosas, e instalaciones para su preparación, con fecha 26 de noviembre del 2009.</w:t>
      </w:r>
    </w:p>
    <w:p w:rsidR="00CA49F4" w:rsidRPr="00ED4C85" w:rsidRDefault="00CA49F4" w:rsidP="00CA49F4">
      <w:pPr>
        <w:numPr>
          <w:ilvl w:val="0"/>
          <w:numId w:val="6"/>
        </w:numPr>
        <w:tabs>
          <w:tab w:val="left" w:pos="12480"/>
        </w:tabs>
        <w:autoSpaceDE w:val="0"/>
        <w:spacing w:after="120" w:line="240" w:lineRule="auto"/>
        <w:jc w:val="both"/>
        <w:rPr>
          <w:color w:val="000000"/>
          <w:lang w:eastAsia="es-ES"/>
        </w:rPr>
      </w:pPr>
      <w:r w:rsidRPr="00ED4C85">
        <w:rPr>
          <w:color w:val="000000"/>
          <w:lang w:eastAsia="es-ES"/>
        </w:rPr>
        <w:t>Ley de Obras Públicas y Servicios Relacionados con las Mismas</w:t>
      </w:r>
      <w:r>
        <w:rPr>
          <w:color w:val="000000"/>
          <w:lang w:eastAsia="es-ES"/>
        </w:rPr>
        <w:t xml:space="preserve"> de Quintana Roo y su Reglamento</w:t>
      </w:r>
      <w:r w:rsidRPr="00ED4C85">
        <w:rPr>
          <w:color w:val="000000"/>
          <w:lang w:eastAsia="es-ES"/>
        </w:rPr>
        <w:t>.</w:t>
      </w:r>
    </w:p>
    <w:p w:rsidR="00CA49F4" w:rsidRPr="00ED4C85" w:rsidRDefault="00CA49F4" w:rsidP="00CA49F4">
      <w:pPr>
        <w:spacing w:after="120"/>
        <w:jc w:val="both"/>
        <w:rPr>
          <w:color w:val="000000"/>
          <w:lang w:eastAsia="es-ES"/>
        </w:rPr>
      </w:pPr>
      <w:r w:rsidRPr="00ED4C85">
        <w:rPr>
          <w:color w:val="000000"/>
          <w:lang w:eastAsia="es-ES"/>
        </w:rPr>
        <w:t>Se tomarán en cuenta, solo como complemento a la Regla</w:t>
      </w:r>
      <w:r>
        <w:rPr>
          <w:color w:val="000000"/>
          <w:lang w:eastAsia="es-ES"/>
        </w:rPr>
        <w:t xml:space="preserve">mentación Nacional vigente </w:t>
      </w:r>
      <w:proofErr w:type="spellStart"/>
      <w:r>
        <w:rPr>
          <w:color w:val="000000"/>
          <w:lang w:eastAsia="es-ES"/>
        </w:rPr>
        <w:t>ó</w:t>
      </w:r>
      <w:proofErr w:type="spellEnd"/>
      <w:r>
        <w:rPr>
          <w:color w:val="000000"/>
          <w:lang w:eastAsia="es-ES"/>
        </w:rPr>
        <w:t xml:space="preserve"> en </w:t>
      </w:r>
      <w:r w:rsidRPr="00ED4C85">
        <w:rPr>
          <w:color w:val="000000"/>
          <w:lang w:eastAsia="es-ES"/>
        </w:rPr>
        <w:t>los casos especiales en los que no existe Reglamentación Nacional.</w:t>
      </w:r>
    </w:p>
    <w:p w:rsidR="00CA49F4" w:rsidRPr="00ED4C85" w:rsidRDefault="00CA49F4" w:rsidP="00CA49F4">
      <w:pPr>
        <w:numPr>
          <w:ilvl w:val="0"/>
          <w:numId w:val="6"/>
        </w:numPr>
        <w:tabs>
          <w:tab w:val="left" w:pos="12480"/>
        </w:tabs>
        <w:autoSpaceDE w:val="0"/>
        <w:spacing w:after="120" w:line="240" w:lineRule="auto"/>
        <w:ind w:left="1078" w:hanging="369"/>
        <w:jc w:val="both"/>
        <w:rPr>
          <w:color w:val="000000"/>
          <w:lang w:val="es-ES" w:eastAsia="es-ES"/>
        </w:rPr>
      </w:pPr>
      <w:r>
        <w:rPr>
          <w:b/>
          <w:color w:val="000000"/>
          <w:lang w:val="es-ES" w:eastAsia="es-ES"/>
        </w:rPr>
        <w:t>Información de empresas</w:t>
      </w:r>
      <w:r w:rsidR="002C2927">
        <w:rPr>
          <w:b/>
          <w:color w:val="000000"/>
          <w:lang w:val="es-ES" w:eastAsia="es-ES"/>
        </w:rPr>
        <w:t xml:space="preserve"> (en caso que utilicen otros reglamentos)</w:t>
      </w:r>
    </w:p>
    <w:p w:rsidR="003C0BC6" w:rsidRDefault="003C0BC6"/>
    <w:p w:rsidR="00C65282" w:rsidRDefault="00027270" w:rsidP="00EC6D90">
      <w:pPr>
        <w:pStyle w:val="Prrafodelista"/>
        <w:ind w:left="1080"/>
      </w:pPr>
      <w:r w:rsidRPr="00027270">
        <w:t>ALCANCE DEL SERVICIO DE LA ELABORACIÓN DEL PROYECTO EJECUTIVO</w:t>
      </w:r>
    </w:p>
    <w:p w:rsidR="00027270" w:rsidRDefault="00027270" w:rsidP="00027270">
      <w:pPr>
        <w:pStyle w:val="Prrafodelista"/>
        <w:ind w:left="142"/>
      </w:pPr>
    </w:p>
    <w:p w:rsidR="00C65282" w:rsidRDefault="00C65282" w:rsidP="00027270">
      <w:pPr>
        <w:pStyle w:val="Prrafodelista"/>
        <w:numPr>
          <w:ilvl w:val="0"/>
          <w:numId w:val="2"/>
        </w:numPr>
        <w:ind w:left="567" w:hanging="567"/>
      </w:pPr>
      <w:r>
        <w:t>GENERALIDADES</w:t>
      </w:r>
    </w:p>
    <w:p w:rsidR="00B4539F" w:rsidRDefault="00B4539F" w:rsidP="00FD6860">
      <w:pPr>
        <w:pStyle w:val="Prrafodelista"/>
        <w:ind w:left="284"/>
      </w:pPr>
    </w:p>
    <w:p w:rsidR="002C2927" w:rsidRDefault="002C2927" w:rsidP="00027270">
      <w:pPr>
        <w:pStyle w:val="Prrafodelista"/>
        <w:ind w:left="284"/>
        <w:jc w:val="both"/>
      </w:pPr>
      <w:r w:rsidRPr="002C2927">
        <w:t>El alcance del servicio que se indica en el presente documento y sus anexos, consideran de manera enunciativa más no limitativa, todas las actividades necesarias para cumplir con los requerimientos de la SESA. El servicio debe ser desarrollado y ejecutados por el contratista a plena satisfacción de la SESA, dando cumplimiento a la reglamentación de orden federal, estatal, local e internacional que resulten aplicables para garantizar el producto esperado.</w:t>
      </w:r>
    </w:p>
    <w:p w:rsidR="002C2927" w:rsidRDefault="002C2927" w:rsidP="00027270">
      <w:pPr>
        <w:pStyle w:val="Prrafodelista"/>
        <w:ind w:left="284"/>
        <w:jc w:val="both"/>
      </w:pPr>
    </w:p>
    <w:p w:rsidR="00B4539F" w:rsidRDefault="00B4539F" w:rsidP="00027270">
      <w:pPr>
        <w:pStyle w:val="Prrafodelista"/>
        <w:ind w:left="284"/>
        <w:jc w:val="both"/>
      </w:pPr>
      <w:r>
        <w:t>La Dirección de Desarrollo de Infraestructura en Salud establecida por los Servicios Estatales de Salud será la máxima autoridad en el proyecto, por lo que la empresa adjudicada</w:t>
      </w:r>
      <w:r w:rsidR="00E30382">
        <w:t xml:space="preserve">, prestará el servicio </w:t>
      </w:r>
      <w:r w:rsidR="00A115A4">
        <w:t>para la elaboración del proyecto ejecutivo</w:t>
      </w:r>
      <w:r w:rsidR="00E30382">
        <w:t xml:space="preserve"> dentro de los plazos programados al contrato correspondiente al servicio: “</w:t>
      </w:r>
      <w:r w:rsidR="005822B2" w:rsidRPr="005822B2">
        <w:rPr>
          <w:b/>
          <w:lang w:val="es-ES"/>
        </w:rPr>
        <w:t>PROYECTO EJECUTIVO PARA LA CONSTRUCCIÓN POR SUSTITUCIÓN DEL HOSPITAL GENERAL DE 30 A 60 CAMAS DE FELIPE CARRILLO PUERTO, DEL ESTADO DE QUINTANA ROO</w:t>
      </w:r>
      <w:r w:rsidR="00E30382">
        <w:t>”.</w:t>
      </w:r>
    </w:p>
    <w:p w:rsidR="00E30382" w:rsidRDefault="00E30382" w:rsidP="00027270">
      <w:pPr>
        <w:pStyle w:val="Prrafodelista"/>
        <w:ind w:left="567" w:hanging="567"/>
        <w:jc w:val="both"/>
      </w:pPr>
    </w:p>
    <w:p w:rsidR="00E30382" w:rsidRDefault="00E30382" w:rsidP="00027270">
      <w:pPr>
        <w:pStyle w:val="Prrafodelista"/>
        <w:ind w:left="284"/>
        <w:jc w:val="both"/>
      </w:pPr>
      <w:r>
        <w:t>A fin de que se cumplan con todos los ordenamientos legales, que se adopten procedimientos aplicables a</w:t>
      </w:r>
      <w:r w:rsidR="00A115A4">
        <w:t xml:space="preserve"> </w:t>
      </w:r>
      <w:r>
        <w:t>l</w:t>
      </w:r>
      <w:r w:rsidR="00A115A4">
        <w:t>os</w:t>
      </w:r>
      <w:r>
        <w:t xml:space="preserve"> cálculo</w:t>
      </w:r>
      <w:r w:rsidR="00A115A4">
        <w:t>s</w:t>
      </w:r>
      <w:r w:rsidR="00156749">
        <w:t xml:space="preserve">, se cuente con la seguridad adecuada para el proyecto, así mismo se disponga oportunamente de la documentación que permita la conducción efectiva de la obra y está quede adecuadamente documentada, revisando para ello las acciones que en forma </w:t>
      </w:r>
      <w:r w:rsidR="00156749">
        <w:lastRenderedPageBreak/>
        <w:t>enunciativa pero no limitativa, se describen más adelante, de igual forma toda la información que deberá obtenerse a la que se refieren los puntos siguientes.</w:t>
      </w:r>
    </w:p>
    <w:p w:rsidR="00156749" w:rsidRDefault="00156749" w:rsidP="00027270">
      <w:pPr>
        <w:pStyle w:val="Prrafodelista"/>
        <w:ind w:left="567" w:hanging="567"/>
        <w:jc w:val="both"/>
      </w:pPr>
    </w:p>
    <w:p w:rsidR="00156749" w:rsidRDefault="00156749" w:rsidP="00027270">
      <w:pPr>
        <w:pStyle w:val="Prrafodelista"/>
        <w:ind w:left="284"/>
        <w:jc w:val="both"/>
      </w:pPr>
      <w:r>
        <w:t xml:space="preserve">La </w:t>
      </w:r>
      <w:r w:rsidR="00A115A4">
        <w:t>persona física o moral adjudicada</w:t>
      </w:r>
      <w:r w:rsidR="006E6911">
        <w:t xml:space="preserve"> </w:t>
      </w:r>
      <w:r>
        <w:t>será responsable de:</w:t>
      </w:r>
      <w:r w:rsidR="006E6911">
        <w:t xml:space="preserve"> analizar el proyecto, detectar los posibles problemas antes que se presenten, proponer acciones necesarias</w:t>
      </w:r>
      <w:r w:rsidR="00394C7C">
        <w:t xml:space="preserve"> para atender oportunamente su corrección, para que en el momento de la ejecución se lleve a cabo conforme a lo establecido en el proyecto sin ningún contratiempo.</w:t>
      </w:r>
    </w:p>
    <w:p w:rsidR="002C2927" w:rsidRDefault="002C2927" w:rsidP="00027270">
      <w:pPr>
        <w:pStyle w:val="Prrafodelista"/>
        <w:ind w:left="284"/>
        <w:jc w:val="both"/>
      </w:pPr>
    </w:p>
    <w:p w:rsidR="002C2927" w:rsidRDefault="002C2927" w:rsidP="005822B2">
      <w:pPr>
        <w:pStyle w:val="Prrafodelista"/>
        <w:ind w:left="284"/>
        <w:jc w:val="both"/>
      </w:pPr>
      <w:r w:rsidRPr="002C2927">
        <w:t>Hará cumplir en el proyecto ejecutivo con lo establecido en las bases de licitación</w:t>
      </w:r>
      <w:r>
        <w:t>, h</w:t>
      </w:r>
      <w:r w:rsidRPr="002C2927">
        <w:t>ará cumplir en el proyecto ejecutivo con lo establecido en la manifestación de impacto ambiental modalidad general.</w:t>
      </w:r>
    </w:p>
    <w:p w:rsidR="005822B2" w:rsidRDefault="005822B2" w:rsidP="005822B2">
      <w:pPr>
        <w:pStyle w:val="Prrafodelista"/>
        <w:ind w:left="284"/>
        <w:jc w:val="both"/>
      </w:pPr>
    </w:p>
    <w:p w:rsidR="002C2927" w:rsidRDefault="002C2927" w:rsidP="002C2927">
      <w:pPr>
        <w:pStyle w:val="Prrafodelista"/>
        <w:numPr>
          <w:ilvl w:val="0"/>
          <w:numId w:val="2"/>
        </w:numPr>
        <w:ind w:left="426"/>
        <w:jc w:val="both"/>
      </w:pPr>
      <w:r w:rsidRPr="002C2927">
        <w:t>REQUERIMIENTOS DE EQUIPOS E INSTALACIONES.</w:t>
      </w:r>
    </w:p>
    <w:p w:rsidR="002C2927" w:rsidRPr="002C2927" w:rsidRDefault="002C2927" w:rsidP="002C2927">
      <w:pPr>
        <w:pStyle w:val="Prrafodelista"/>
        <w:ind w:left="426"/>
        <w:jc w:val="both"/>
      </w:pPr>
    </w:p>
    <w:p w:rsidR="002C2927" w:rsidRDefault="002C2927" w:rsidP="002C2927">
      <w:pPr>
        <w:pStyle w:val="Prrafodelista"/>
        <w:ind w:left="284"/>
        <w:jc w:val="both"/>
      </w:pPr>
      <w:r>
        <w:t>Los licitantes deben contar con instalaciones adecuadas, con el área de trabajo suficiente para la Plantilla Mínima del Personal Técnico requerido, así como los equipos de cómputo, periféricos y los programas (software) suficientes y de reciente versión, para la realización de los trabajos de Desarrollo del servicio, contando como mínimo con lo siguiente:</w:t>
      </w:r>
    </w:p>
    <w:p w:rsidR="002C2927" w:rsidRDefault="002C2927" w:rsidP="002C2927">
      <w:pPr>
        <w:pStyle w:val="Prrafodelista"/>
        <w:ind w:left="284"/>
        <w:jc w:val="both"/>
      </w:pPr>
    </w:p>
    <w:p w:rsidR="002C2927" w:rsidRDefault="002C2927" w:rsidP="002C2927">
      <w:pPr>
        <w:pStyle w:val="Prrafodelista"/>
        <w:ind w:left="284"/>
        <w:jc w:val="both"/>
      </w:pPr>
      <w:r>
        <w:t>•</w:t>
      </w:r>
      <w:r>
        <w:tab/>
        <w:t>Computadoras de escritorio y/</w:t>
      </w:r>
      <w:proofErr w:type="spellStart"/>
      <w:r>
        <w:t>ó</w:t>
      </w:r>
      <w:proofErr w:type="spellEnd"/>
      <w:r>
        <w:t xml:space="preserve"> </w:t>
      </w:r>
      <w:proofErr w:type="spellStart"/>
      <w:r>
        <w:t>Lap</w:t>
      </w:r>
      <w:proofErr w:type="spellEnd"/>
      <w:r>
        <w:t xml:space="preserve"> Top que soporte los software necesarios para desarrollar las actividades correspondientes de cada uno de los especialistas que conformen la Plantilla Técnica.</w:t>
      </w:r>
    </w:p>
    <w:p w:rsidR="002C2927" w:rsidRDefault="002C2927" w:rsidP="002C2927">
      <w:pPr>
        <w:pStyle w:val="Prrafodelista"/>
        <w:ind w:left="284"/>
        <w:jc w:val="both"/>
      </w:pPr>
    </w:p>
    <w:p w:rsidR="002C2927" w:rsidRPr="00C17746" w:rsidRDefault="002C2927" w:rsidP="002C2927">
      <w:pPr>
        <w:numPr>
          <w:ilvl w:val="1"/>
          <w:numId w:val="7"/>
        </w:numPr>
        <w:tabs>
          <w:tab w:val="clear" w:pos="-180"/>
        </w:tabs>
        <w:spacing w:after="120" w:line="240" w:lineRule="auto"/>
        <w:ind w:left="426" w:right="6" w:firstLine="0"/>
        <w:jc w:val="both"/>
        <w:rPr>
          <w:color w:val="000000"/>
        </w:rPr>
      </w:pPr>
      <w:r w:rsidRPr="00ED4C85">
        <w:rPr>
          <w:color w:val="000000"/>
        </w:rPr>
        <w:t>Proyector de Imágenes y Video</w:t>
      </w:r>
      <w:r>
        <w:rPr>
          <w:color w:val="000000"/>
        </w:rPr>
        <w:t xml:space="preserve"> e Internet para videoconferencias (en su caso)</w:t>
      </w:r>
      <w:r w:rsidRPr="00ED4C85">
        <w:rPr>
          <w:color w:val="000000"/>
        </w:rPr>
        <w:t>.</w:t>
      </w:r>
    </w:p>
    <w:p w:rsidR="002C2927" w:rsidRDefault="002C2927" w:rsidP="002C2927">
      <w:pPr>
        <w:pStyle w:val="Prrafodelista"/>
        <w:ind w:left="284"/>
        <w:jc w:val="both"/>
      </w:pPr>
    </w:p>
    <w:p w:rsidR="000E0DA0" w:rsidRDefault="000E0DA0" w:rsidP="00027270">
      <w:pPr>
        <w:pStyle w:val="Prrafodelista"/>
        <w:numPr>
          <w:ilvl w:val="0"/>
          <w:numId w:val="2"/>
        </w:numPr>
        <w:ind w:left="567" w:hanging="567"/>
        <w:jc w:val="both"/>
      </w:pPr>
      <w:r>
        <w:t>CANALES DE COMUNICACIÓN</w:t>
      </w:r>
    </w:p>
    <w:p w:rsidR="000E0DA0" w:rsidRDefault="000E0DA0" w:rsidP="00027270">
      <w:pPr>
        <w:pStyle w:val="Prrafodelista"/>
        <w:ind w:left="567" w:hanging="567"/>
        <w:jc w:val="both"/>
      </w:pPr>
    </w:p>
    <w:p w:rsidR="00CE4592" w:rsidRDefault="00CE4592" w:rsidP="00027270">
      <w:pPr>
        <w:pStyle w:val="Prrafodelista"/>
        <w:numPr>
          <w:ilvl w:val="1"/>
          <w:numId w:val="2"/>
        </w:numPr>
        <w:ind w:left="567" w:hanging="567"/>
        <w:jc w:val="both"/>
      </w:pPr>
      <w:r>
        <w:t>Juntas.</w:t>
      </w:r>
    </w:p>
    <w:p w:rsidR="000E0DA0" w:rsidRDefault="00CE4592" w:rsidP="00027270">
      <w:pPr>
        <w:pStyle w:val="Prrafodelista"/>
        <w:ind w:left="284"/>
        <w:jc w:val="both"/>
      </w:pPr>
      <w:r>
        <w:t xml:space="preserve">La empresa </w:t>
      </w:r>
      <w:r w:rsidR="000E0DA0">
        <w:t xml:space="preserve"> </w:t>
      </w:r>
      <w:r>
        <w:t>será responsable de organizar y convocar a la Dirección de Desarrollo de Infraestructura en Salud</w:t>
      </w:r>
      <w:r w:rsidR="00F43B4F">
        <w:t xml:space="preserve"> la celebración de juntas que se realicen bajo calendario, así como las </w:t>
      </w:r>
      <w:r w:rsidR="00F43B4F">
        <w:lastRenderedPageBreak/>
        <w:t>extraordinarias que solicite, las que podrán celebrarse en las oficias de la Dirección de Desarrollo de Infraestructura en Salud.</w:t>
      </w:r>
    </w:p>
    <w:p w:rsidR="00F43B4F" w:rsidRDefault="00F43B4F" w:rsidP="00027270">
      <w:pPr>
        <w:pStyle w:val="Prrafodelista"/>
        <w:ind w:left="567" w:hanging="567"/>
        <w:jc w:val="both"/>
      </w:pPr>
    </w:p>
    <w:p w:rsidR="00F43B4F" w:rsidRDefault="00F43B4F" w:rsidP="00027270">
      <w:pPr>
        <w:pStyle w:val="Prrafodelista"/>
        <w:numPr>
          <w:ilvl w:val="1"/>
          <w:numId w:val="2"/>
        </w:numPr>
        <w:ind w:left="567" w:hanging="567"/>
        <w:jc w:val="both"/>
      </w:pPr>
      <w:r>
        <w:t>Documentación</w:t>
      </w:r>
    </w:p>
    <w:p w:rsidR="00F43B4F" w:rsidRDefault="00F43B4F" w:rsidP="00027270">
      <w:pPr>
        <w:pStyle w:val="Prrafodelista"/>
        <w:ind w:left="284"/>
        <w:jc w:val="both"/>
      </w:pPr>
      <w:r>
        <w:t xml:space="preserve">La empresa será responsable de organizar y mantener actualizado los planos que contengan todos los detalles </w:t>
      </w:r>
      <w:r w:rsidR="003C0BC6">
        <w:t xml:space="preserve">correspondientes a cada ingeniería </w:t>
      </w:r>
      <w:r>
        <w:t>de forma digital e impreso</w:t>
      </w:r>
      <w:r w:rsidR="00A067DB">
        <w:t xml:space="preserve"> que permitan posteriormente la ejecución de la obra sin percance alguno.</w:t>
      </w:r>
    </w:p>
    <w:p w:rsidR="00A067DB" w:rsidRDefault="00A067DB" w:rsidP="00027270">
      <w:pPr>
        <w:pStyle w:val="Prrafodelista"/>
        <w:ind w:left="567" w:hanging="567"/>
        <w:jc w:val="both"/>
      </w:pPr>
    </w:p>
    <w:p w:rsidR="00A067DB" w:rsidRDefault="00A067DB" w:rsidP="00027270">
      <w:pPr>
        <w:pStyle w:val="Prrafodelista"/>
        <w:numPr>
          <w:ilvl w:val="1"/>
          <w:numId w:val="2"/>
        </w:numPr>
        <w:ind w:left="567" w:hanging="567"/>
        <w:jc w:val="both"/>
      </w:pPr>
      <w:r>
        <w:t>Informes</w:t>
      </w:r>
    </w:p>
    <w:p w:rsidR="00A067DB" w:rsidRDefault="00A067DB" w:rsidP="00027270">
      <w:pPr>
        <w:pStyle w:val="Prrafodelista"/>
        <w:ind w:left="567" w:hanging="567"/>
        <w:jc w:val="both"/>
      </w:pPr>
      <w:r>
        <w:t xml:space="preserve">La </w:t>
      </w:r>
      <w:r w:rsidR="00385EC8">
        <w:t>empresa presentará informes y ficha técnica, en forma impresa y en archivo electrónico</w:t>
      </w:r>
    </w:p>
    <w:p w:rsidR="00385EC8" w:rsidRDefault="00385EC8" w:rsidP="00A067DB">
      <w:pPr>
        <w:pStyle w:val="Prrafodelista"/>
        <w:ind w:left="1800"/>
        <w:jc w:val="both"/>
      </w:pPr>
    </w:p>
    <w:p w:rsidR="00385EC8" w:rsidRDefault="00385EC8" w:rsidP="00385EC8">
      <w:pPr>
        <w:pStyle w:val="Prrafodelista"/>
        <w:numPr>
          <w:ilvl w:val="0"/>
          <w:numId w:val="3"/>
        </w:numPr>
        <w:ind w:left="1985" w:hanging="185"/>
        <w:jc w:val="both"/>
      </w:pPr>
      <w:r>
        <w:t>Informe general y ficha técnica</w:t>
      </w:r>
      <w:r w:rsidR="003C0BC6">
        <w:t>, que contenga el avance físico</w:t>
      </w:r>
    </w:p>
    <w:tbl>
      <w:tblPr>
        <w:tblW w:w="0" w:type="auto"/>
        <w:jc w:val="center"/>
        <w:tblBorders>
          <w:top w:val="single" w:sz="4" w:space="0" w:color="auto"/>
          <w:bottom w:val="single" w:sz="4" w:space="0" w:color="auto"/>
          <w:insideH w:val="dotted" w:sz="4" w:space="0" w:color="auto"/>
          <w:insideV w:val="dotted" w:sz="4" w:space="0" w:color="auto"/>
        </w:tblBorders>
        <w:tblLook w:val="04A0" w:firstRow="1" w:lastRow="0" w:firstColumn="1" w:lastColumn="0" w:noHBand="0" w:noVBand="1"/>
      </w:tblPr>
      <w:tblGrid>
        <w:gridCol w:w="4409"/>
        <w:gridCol w:w="4429"/>
      </w:tblGrid>
      <w:tr w:rsidR="00385EC8" w:rsidRPr="00C30B56" w:rsidTr="00643673">
        <w:trPr>
          <w:trHeight w:val="730"/>
          <w:jc w:val="center"/>
        </w:trPr>
        <w:tc>
          <w:tcPr>
            <w:tcW w:w="9087" w:type="dxa"/>
            <w:gridSpan w:val="2"/>
            <w:shd w:val="clear" w:color="auto" w:fill="auto"/>
            <w:vAlign w:val="center"/>
          </w:tcPr>
          <w:p w:rsidR="00385EC8" w:rsidRPr="00C30B56" w:rsidRDefault="00385EC8" w:rsidP="00643673">
            <w:pPr>
              <w:pStyle w:val="Textoindependiente21"/>
              <w:tabs>
                <w:tab w:val="left" w:pos="1200"/>
              </w:tabs>
              <w:ind w:left="0"/>
              <w:jc w:val="center"/>
              <w:rPr>
                <w:rFonts w:cs="Arial"/>
                <w:b/>
                <w:color w:val="auto"/>
                <w:szCs w:val="24"/>
              </w:rPr>
            </w:pPr>
            <w:r w:rsidRPr="00C30B56">
              <w:rPr>
                <w:rFonts w:cs="Arial"/>
                <w:b/>
                <w:color w:val="auto"/>
                <w:szCs w:val="24"/>
              </w:rPr>
              <w:t>INFORMES</w:t>
            </w:r>
          </w:p>
        </w:tc>
      </w:tr>
      <w:tr w:rsidR="00385EC8" w:rsidRPr="00664349" w:rsidTr="00643673">
        <w:trPr>
          <w:jc w:val="center"/>
        </w:trPr>
        <w:tc>
          <w:tcPr>
            <w:tcW w:w="4543" w:type="dxa"/>
            <w:shd w:val="clear" w:color="auto" w:fill="auto"/>
          </w:tcPr>
          <w:p w:rsidR="00385EC8" w:rsidRPr="00664349" w:rsidRDefault="00385EC8" w:rsidP="00643673">
            <w:pPr>
              <w:pStyle w:val="Textoindependiente21"/>
              <w:tabs>
                <w:tab w:val="left" w:pos="1200"/>
              </w:tabs>
              <w:ind w:left="0"/>
              <w:rPr>
                <w:rFonts w:cs="Arial"/>
                <w:color w:val="auto"/>
                <w:sz w:val="22"/>
                <w:szCs w:val="22"/>
              </w:rPr>
            </w:pPr>
            <w:r w:rsidRPr="00664349">
              <w:rPr>
                <w:rFonts w:cs="Arial"/>
                <w:color w:val="auto"/>
                <w:sz w:val="22"/>
                <w:szCs w:val="22"/>
              </w:rPr>
              <w:t xml:space="preserve">Tipo </w:t>
            </w:r>
          </w:p>
        </w:tc>
        <w:tc>
          <w:tcPr>
            <w:tcW w:w="4544" w:type="dxa"/>
            <w:shd w:val="clear" w:color="auto" w:fill="auto"/>
          </w:tcPr>
          <w:p w:rsidR="00385EC8" w:rsidRPr="00664349" w:rsidRDefault="00385EC8" w:rsidP="00643673">
            <w:pPr>
              <w:pStyle w:val="Textoindependiente21"/>
              <w:tabs>
                <w:tab w:val="left" w:pos="1200"/>
              </w:tabs>
              <w:ind w:left="0"/>
              <w:rPr>
                <w:rFonts w:cs="Arial"/>
                <w:color w:val="auto"/>
                <w:sz w:val="22"/>
                <w:szCs w:val="22"/>
              </w:rPr>
            </w:pPr>
            <w:r w:rsidRPr="00664349">
              <w:rPr>
                <w:rFonts w:cs="Arial"/>
                <w:color w:val="auto"/>
                <w:sz w:val="22"/>
                <w:szCs w:val="22"/>
              </w:rPr>
              <w:t>Periodicidad.</w:t>
            </w:r>
          </w:p>
        </w:tc>
      </w:tr>
      <w:tr w:rsidR="00385EC8" w:rsidRPr="00664349" w:rsidTr="00643673">
        <w:trPr>
          <w:jc w:val="center"/>
        </w:trPr>
        <w:tc>
          <w:tcPr>
            <w:tcW w:w="4543" w:type="dxa"/>
            <w:shd w:val="clear" w:color="auto" w:fill="auto"/>
          </w:tcPr>
          <w:p w:rsidR="00385EC8" w:rsidRPr="00664349" w:rsidRDefault="00385EC8" w:rsidP="00643673">
            <w:pPr>
              <w:pStyle w:val="Textoindependiente21"/>
              <w:tabs>
                <w:tab w:val="left" w:pos="1200"/>
              </w:tabs>
              <w:ind w:left="0"/>
              <w:rPr>
                <w:rFonts w:cs="Arial"/>
                <w:color w:val="auto"/>
                <w:sz w:val="22"/>
                <w:szCs w:val="22"/>
              </w:rPr>
            </w:pPr>
            <w:r w:rsidRPr="00664349">
              <w:rPr>
                <w:rFonts w:cs="Arial"/>
                <w:color w:val="auto"/>
                <w:sz w:val="22"/>
                <w:szCs w:val="22"/>
              </w:rPr>
              <w:t>Informe general y ficha técnica.</w:t>
            </w:r>
          </w:p>
        </w:tc>
        <w:tc>
          <w:tcPr>
            <w:tcW w:w="4544" w:type="dxa"/>
            <w:shd w:val="clear" w:color="auto" w:fill="auto"/>
          </w:tcPr>
          <w:p w:rsidR="00385EC8" w:rsidRPr="00664349" w:rsidRDefault="003C0BC6" w:rsidP="00643673">
            <w:pPr>
              <w:pStyle w:val="Textoindependiente21"/>
              <w:tabs>
                <w:tab w:val="left" w:pos="1200"/>
              </w:tabs>
              <w:ind w:left="0"/>
              <w:rPr>
                <w:rFonts w:cs="Arial"/>
                <w:color w:val="auto"/>
                <w:sz w:val="22"/>
                <w:szCs w:val="22"/>
              </w:rPr>
            </w:pPr>
            <w:r>
              <w:rPr>
                <w:rFonts w:cs="Arial"/>
                <w:color w:val="auto"/>
                <w:sz w:val="22"/>
                <w:szCs w:val="22"/>
              </w:rPr>
              <w:t>Mensual</w:t>
            </w:r>
            <w:r w:rsidR="00385EC8" w:rsidRPr="00664349">
              <w:rPr>
                <w:rFonts w:cs="Arial"/>
                <w:color w:val="auto"/>
                <w:sz w:val="22"/>
                <w:szCs w:val="22"/>
              </w:rPr>
              <w:t>.</w:t>
            </w:r>
          </w:p>
        </w:tc>
      </w:tr>
    </w:tbl>
    <w:p w:rsidR="00385EC8" w:rsidRDefault="00385EC8" w:rsidP="00A067DB">
      <w:pPr>
        <w:pStyle w:val="Prrafodelista"/>
        <w:ind w:left="1800"/>
        <w:jc w:val="both"/>
      </w:pPr>
    </w:p>
    <w:p w:rsidR="00385EC8" w:rsidRDefault="00385EC8" w:rsidP="00027270">
      <w:pPr>
        <w:pStyle w:val="Prrafodelista"/>
        <w:ind w:left="0"/>
        <w:jc w:val="both"/>
      </w:pPr>
      <w:r>
        <w:t>La empresa entregará a la Dirección de Desarrollo de Infraestructura en Salud</w:t>
      </w:r>
      <w:r w:rsidR="00565909">
        <w:t xml:space="preserve"> en las fechas establecidas para este objeto, los informes en dos ejemplares.</w:t>
      </w:r>
    </w:p>
    <w:p w:rsidR="00565909" w:rsidRDefault="00565909" w:rsidP="00027270">
      <w:pPr>
        <w:pStyle w:val="Prrafodelista"/>
        <w:ind w:left="0"/>
        <w:jc w:val="both"/>
      </w:pPr>
    </w:p>
    <w:p w:rsidR="00886705" w:rsidRPr="00886705" w:rsidRDefault="00886705" w:rsidP="00886705">
      <w:pPr>
        <w:jc w:val="center"/>
        <w:rPr>
          <w:b/>
        </w:rPr>
      </w:pPr>
      <w:r w:rsidRPr="00886705">
        <w:rPr>
          <w:b/>
        </w:rPr>
        <w:t>PRODUCTO ESPERADO</w:t>
      </w:r>
    </w:p>
    <w:p w:rsidR="00886705" w:rsidRDefault="00565909" w:rsidP="00027270">
      <w:pPr>
        <w:pStyle w:val="Prrafodelista"/>
        <w:ind w:left="0"/>
        <w:jc w:val="both"/>
      </w:pPr>
      <w:r>
        <w:t xml:space="preserve">Al término de los trabajos motivos de estas bases, la empresa entregará por duplicado, </w:t>
      </w:r>
      <w:r w:rsidR="003C0BC6">
        <w:t>las</w:t>
      </w:r>
      <w:r>
        <w:t xml:space="preserve"> memoria</w:t>
      </w:r>
      <w:r w:rsidR="003C0BC6">
        <w:t>s</w:t>
      </w:r>
      <w:r>
        <w:t xml:space="preserve"> descriptiva</w:t>
      </w:r>
      <w:r w:rsidR="003C0BC6">
        <w:t>s, manuales (en su caso), guías mecánicas (en su caso), catálogo de conceptos, análisis de precios unitarios</w:t>
      </w:r>
      <w:r w:rsidR="00886705">
        <w:t>, planos, detalles, plantas de conjunto, diagramas unifilares, cuadros de carga,</w:t>
      </w:r>
      <w:r>
        <w:t xml:space="preserve"> y </w:t>
      </w:r>
      <w:r w:rsidR="003C0BC6">
        <w:t xml:space="preserve">así esta misma </w:t>
      </w:r>
      <w:r>
        <w:t xml:space="preserve">documentación </w:t>
      </w:r>
      <w:r w:rsidR="003C0BC6">
        <w:t>de manera digital</w:t>
      </w:r>
      <w:r w:rsidR="00886705">
        <w:t>, así como la firma del perito</w:t>
      </w:r>
      <w:r>
        <w:t>.</w:t>
      </w:r>
    </w:p>
    <w:p w:rsidR="00886705" w:rsidRDefault="00886705" w:rsidP="00027270">
      <w:pPr>
        <w:pStyle w:val="Prrafodelista"/>
        <w:ind w:left="0"/>
        <w:jc w:val="both"/>
      </w:pPr>
    </w:p>
    <w:p w:rsidR="005822B2" w:rsidRDefault="005822B2" w:rsidP="00027270">
      <w:pPr>
        <w:pStyle w:val="Prrafodelista"/>
        <w:ind w:left="0"/>
        <w:jc w:val="both"/>
      </w:pPr>
    </w:p>
    <w:p w:rsidR="005822B2" w:rsidRDefault="005822B2" w:rsidP="00027270">
      <w:pPr>
        <w:pStyle w:val="Prrafodelista"/>
        <w:ind w:left="0"/>
        <w:jc w:val="both"/>
      </w:pPr>
    </w:p>
    <w:p w:rsidR="005822B2" w:rsidRDefault="005822B2" w:rsidP="00027270">
      <w:pPr>
        <w:pStyle w:val="Prrafodelista"/>
        <w:ind w:left="0"/>
        <w:jc w:val="both"/>
      </w:pPr>
    </w:p>
    <w:p w:rsidR="005822B2" w:rsidRDefault="005822B2" w:rsidP="00027270">
      <w:pPr>
        <w:pStyle w:val="Prrafodelista"/>
        <w:ind w:left="0"/>
        <w:jc w:val="both"/>
      </w:pPr>
    </w:p>
    <w:p w:rsidR="005822B2" w:rsidRDefault="005822B2" w:rsidP="00027270">
      <w:pPr>
        <w:pStyle w:val="Prrafodelista"/>
        <w:ind w:left="0"/>
        <w:jc w:val="both"/>
      </w:pPr>
    </w:p>
    <w:p w:rsidR="00886705" w:rsidRPr="00DA1065" w:rsidRDefault="00886705" w:rsidP="00886705">
      <w:pPr>
        <w:spacing w:after="240"/>
        <w:jc w:val="center"/>
        <w:rPr>
          <w:b/>
          <w:color w:val="000000"/>
          <w:lang w:eastAsia="es-ES"/>
        </w:rPr>
      </w:pPr>
      <w:r w:rsidRPr="00DA1065">
        <w:rPr>
          <w:b/>
          <w:color w:val="000000"/>
          <w:lang w:eastAsia="es-ES"/>
        </w:rPr>
        <w:t>INFORMACIÓN TÉCNICA PROPORCIONADA POR LA SESA</w:t>
      </w:r>
    </w:p>
    <w:p w:rsidR="00886705" w:rsidRDefault="00886705" w:rsidP="00886705">
      <w:pPr>
        <w:pStyle w:val="Prrafodelista"/>
        <w:numPr>
          <w:ilvl w:val="0"/>
          <w:numId w:val="8"/>
        </w:numPr>
        <w:spacing w:after="240"/>
        <w:jc w:val="both"/>
        <w:rPr>
          <w:color w:val="000000"/>
          <w:lang w:eastAsia="es-ES"/>
        </w:rPr>
      </w:pPr>
      <w:r>
        <w:rPr>
          <w:color w:val="000000"/>
          <w:lang w:eastAsia="es-ES"/>
        </w:rPr>
        <w:t xml:space="preserve">Plantas Arquitectónicas </w:t>
      </w:r>
    </w:p>
    <w:p w:rsidR="00886705" w:rsidRDefault="00886705" w:rsidP="00886705">
      <w:pPr>
        <w:pStyle w:val="Prrafodelista"/>
        <w:numPr>
          <w:ilvl w:val="0"/>
          <w:numId w:val="8"/>
        </w:numPr>
        <w:spacing w:after="240"/>
        <w:jc w:val="both"/>
        <w:rPr>
          <w:color w:val="000000"/>
          <w:lang w:eastAsia="es-ES"/>
        </w:rPr>
      </w:pPr>
      <w:r>
        <w:rPr>
          <w:color w:val="000000"/>
          <w:lang w:eastAsia="es-ES"/>
        </w:rPr>
        <w:t xml:space="preserve">Cortes </w:t>
      </w:r>
    </w:p>
    <w:p w:rsidR="00886705" w:rsidRDefault="00886705" w:rsidP="00886705">
      <w:pPr>
        <w:pStyle w:val="Prrafodelista"/>
        <w:numPr>
          <w:ilvl w:val="0"/>
          <w:numId w:val="8"/>
        </w:numPr>
        <w:spacing w:after="240"/>
        <w:jc w:val="both"/>
        <w:rPr>
          <w:color w:val="000000"/>
          <w:lang w:eastAsia="es-ES"/>
        </w:rPr>
      </w:pPr>
      <w:r>
        <w:rPr>
          <w:color w:val="000000"/>
          <w:lang w:eastAsia="es-ES"/>
        </w:rPr>
        <w:t>Fachadas</w:t>
      </w:r>
    </w:p>
    <w:p w:rsidR="00886705" w:rsidRDefault="00886705" w:rsidP="00027270">
      <w:pPr>
        <w:pStyle w:val="Prrafodelista"/>
        <w:ind w:left="0"/>
        <w:jc w:val="both"/>
      </w:pPr>
    </w:p>
    <w:sectPr w:rsidR="00886705" w:rsidSect="005A17F8">
      <w:headerReference w:type="default" r:id="rId7"/>
      <w:footerReference w:type="default" r:id="rId8"/>
      <w:pgSz w:w="12240" w:h="15840"/>
      <w:pgMar w:top="1417" w:right="1701" w:bottom="1417" w:left="1701" w:header="708" w:footer="16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7A2" w:rsidRDefault="002F07A2" w:rsidP="005A17F8">
      <w:pPr>
        <w:spacing w:after="0" w:line="240" w:lineRule="auto"/>
      </w:pPr>
      <w:r>
        <w:separator/>
      </w:r>
    </w:p>
  </w:endnote>
  <w:endnote w:type="continuationSeparator" w:id="0">
    <w:p w:rsidR="002F07A2" w:rsidRDefault="002F07A2" w:rsidP="005A1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7F8" w:rsidRDefault="005A17F8">
    <w:pPr>
      <w:pStyle w:val="Piedepgina"/>
    </w:pPr>
    <w:r>
      <w:rPr>
        <w:noProof/>
        <w:lang w:val="es-MX" w:eastAsia="es-MX"/>
      </w:rPr>
      <w:drawing>
        <wp:anchor distT="0" distB="0" distL="114300" distR="114300" simplePos="0" relativeHeight="251661312" behindDoc="0" locked="0" layoutInCell="1" allowOverlap="1">
          <wp:simplePos x="0" y="0"/>
          <wp:positionH relativeFrom="column">
            <wp:posOffset>9525</wp:posOffset>
          </wp:positionH>
          <wp:positionV relativeFrom="paragraph">
            <wp:posOffset>8190230</wp:posOffset>
          </wp:positionV>
          <wp:extent cx="7907020" cy="1600200"/>
          <wp:effectExtent l="0" t="0" r="0" b="0"/>
          <wp:wrapNone/>
          <wp:docPr id="22" name="Imagen 22"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las_azu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70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60288" behindDoc="0" locked="0" layoutInCell="1" allowOverlap="1">
          <wp:simplePos x="0" y="0"/>
          <wp:positionH relativeFrom="column">
            <wp:posOffset>9525</wp:posOffset>
          </wp:positionH>
          <wp:positionV relativeFrom="paragraph">
            <wp:posOffset>8447405</wp:posOffset>
          </wp:positionV>
          <wp:extent cx="7907020" cy="1600200"/>
          <wp:effectExtent l="0" t="0" r="0" b="0"/>
          <wp:wrapNone/>
          <wp:docPr id="21" name="Imagen 21"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las_azu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702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9264" behindDoc="0" locked="0" layoutInCell="1" allowOverlap="1">
          <wp:simplePos x="0" y="0"/>
          <wp:positionH relativeFrom="column">
            <wp:posOffset>9525</wp:posOffset>
          </wp:positionH>
          <wp:positionV relativeFrom="paragraph">
            <wp:posOffset>8447405</wp:posOffset>
          </wp:positionV>
          <wp:extent cx="7907020" cy="1600200"/>
          <wp:effectExtent l="0" t="0" r="0" b="0"/>
          <wp:wrapNone/>
          <wp:docPr id="20" name="Imagen 20" descr="olas_azu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as_azu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907020" cy="1600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7A2" w:rsidRDefault="002F07A2" w:rsidP="005A17F8">
      <w:pPr>
        <w:spacing w:after="0" w:line="240" w:lineRule="auto"/>
      </w:pPr>
      <w:r>
        <w:separator/>
      </w:r>
    </w:p>
  </w:footnote>
  <w:footnote w:type="continuationSeparator" w:id="0">
    <w:p w:rsidR="002F07A2" w:rsidRDefault="002F07A2" w:rsidP="005A17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CBD" w:rsidRDefault="005822B2" w:rsidP="00471798">
    <w:pPr>
      <w:spacing w:after="0"/>
      <w:jc w:val="center"/>
      <w:rPr>
        <w:rFonts w:ascii="Calibri" w:eastAsia="Calibri" w:hAnsi="Calibri"/>
        <w:noProof/>
        <w:lang w:val="es-MX" w:eastAsia="es-MX"/>
      </w:rPr>
    </w:pPr>
    <w:r>
      <w:rPr>
        <w:noProof/>
        <w:lang w:eastAsia="es-MX"/>
      </w:rPr>
      <w:drawing>
        <wp:anchor distT="0" distB="0" distL="114300" distR="114300" simplePos="0" relativeHeight="251663360" behindDoc="1" locked="0" layoutInCell="1" allowOverlap="1" wp14:anchorId="0E91B25C" wp14:editId="06742A0C">
          <wp:simplePos x="0" y="0"/>
          <wp:positionH relativeFrom="margin">
            <wp:posOffset>-719918</wp:posOffset>
          </wp:positionH>
          <wp:positionV relativeFrom="paragraph">
            <wp:posOffset>-222365</wp:posOffset>
          </wp:positionV>
          <wp:extent cx="6860771" cy="8566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81302" cy="871664"/>
                  </a:xfrm>
                  <a:prstGeom prst="rect">
                    <a:avLst/>
                  </a:prstGeom>
                </pic:spPr>
              </pic:pic>
            </a:graphicData>
          </a:graphic>
          <wp14:sizeRelH relativeFrom="page">
            <wp14:pctWidth>0</wp14:pctWidth>
          </wp14:sizeRelH>
          <wp14:sizeRelV relativeFrom="page">
            <wp14:pctHeight>0</wp14:pctHeight>
          </wp14:sizeRelV>
        </wp:anchor>
      </w:drawing>
    </w:r>
  </w:p>
  <w:p w:rsidR="00471798" w:rsidRDefault="00471798" w:rsidP="00471798">
    <w:pPr>
      <w:spacing w:after="0"/>
      <w:jc w:val="center"/>
      <w:rPr>
        <w:b/>
        <w:sz w:val="20"/>
      </w:rPr>
    </w:pPr>
  </w:p>
  <w:p w:rsidR="005822B2" w:rsidRDefault="005822B2" w:rsidP="00471798">
    <w:pPr>
      <w:jc w:val="center"/>
      <w:rPr>
        <w:b/>
      </w:rPr>
    </w:pPr>
  </w:p>
  <w:p w:rsidR="005822B2" w:rsidRDefault="005822B2" w:rsidP="00471798">
    <w:pPr>
      <w:jc w:val="center"/>
      <w:rPr>
        <w:b/>
      </w:rPr>
    </w:pPr>
  </w:p>
  <w:p w:rsidR="00471798" w:rsidRPr="00471798" w:rsidRDefault="00471798" w:rsidP="00471798">
    <w:pPr>
      <w:jc w:val="center"/>
      <w:rPr>
        <w:b/>
      </w:rPr>
    </w:pPr>
    <w:r w:rsidRPr="00471798">
      <w:rPr>
        <w:b/>
      </w:rPr>
      <w:t>SERVICIOS ESTATALES DE SALUD</w:t>
    </w:r>
  </w:p>
  <w:p w:rsidR="00471798" w:rsidRPr="00471798" w:rsidRDefault="00471798" w:rsidP="00471798">
    <w:pPr>
      <w:spacing w:after="0"/>
      <w:jc w:val="center"/>
      <w:rPr>
        <w:b/>
      </w:rPr>
    </w:pPr>
    <w:r w:rsidRPr="00471798">
      <w:rPr>
        <w:b/>
      </w:rPr>
      <w:t>DIRECCIÓN DE DESARROLLO DE INFRAESTRUCTURA EN SALUD</w:t>
    </w:r>
  </w:p>
  <w:p w:rsidR="005A17F8" w:rsidRDefault="00471798" w:rsidP="006A62A9">
    <w:pPr>
      <w:spacing w:after="0"/>
      <w:jc w:val="center"/>
      <w:rPr>
        <w:b/>
        <w:sz w:val="20"/>
      </w:rPr>
    </w:pPr>
    <w:r>
      <w:rPr>
        <w:b/>
        <w:sz w:val="20"/>
      </w:rPr>
      <w:t>SUBDIRECCIÓN DE DESARROLLO DE INFRAESTRUCTURA EN SALUD</w:t>
    </w:r>
  </w:p>
  <w:p w:rsidR="006A62A9" w:rsidRDefault="006A62A9" w:rsidP="006A62A9">
    <w:pPr>
      <w:spacing w:after="0"/>
      <w:jc w:val="center"/>
      <w:rPr>
        <w:b/>
        <w:sz w:val="20"/>
      </w:rPr>
    </w:pPr>
  </w:p>
  <w:p w:rsidR="006A62A9" w:rsidRPr="008648E5" w:rsidRDefault="006A62A9" w:rsidP="006A62A9">
    <w:pPr>
      <w:spacing w:after="0"/>
      <w:jc w:val="center"/>
      <w:rPr>
        <w:b/>
        <w:sz w:val="20"/>
      </w:rPr>
    </w:pPr>
    <w:r w:rsidRPr="008648E5">
      <w:rPr>
        <w:b/>
        <w:sz w:val="20"/>
      </w:rPr>
      <w:t xml:space="preserve">PROCEDIMIENTO DE </w:t>
    </w:r>
    <w:r w:rsidR="00717CBD">
      <w:rPr>
        <w:b/>
        <w:sz w:val="20"/>
      </w:rPr>
      <w:t>LICITACIÓN PÚBLICA NACIONAL</w:t>
    </w:r>
    <w:r w:rsidRPr="008648E5">
      <w:rPr>
        <w:b/>
        <w:sz w:val="20"/>
      </w:rPr>
      <w:t xml:space="preserve"> No. </w:t>
    </w:r>
    <w:r w:rsidR="00717CBD">
      <w:rPr>
        <w:b/>
        <w:sz w:val="20"/>
      </w:rPr>
      <w:t>EO-</w:t>
    </w:r>
    <w:r w:rsidRPr="008648E5">
      <w:rPr>
        <w:b/>
        <w:sz w:val="20"/>
      </w:rPr>
      <w:t>SESAQROO-</w:t>
    </w:r>
    <w:r w:rsidR="00717CBD">
      <w:rPr>
        <w:b/>
        <w:sz w:val="20"/>
      </w:rPr>
      <w:t>L</w:t>
    </w:r>
    <w:r w:rsidRPr="008648E5">
      <w:rPr>
        <w:b/>
        <w:sz w:val="20"/>
      </w:rPr>
      <w:t>P-001-20</w:t>
    </w:r>
    <w:r w:rsidR="005822B2">
      <w:rPr>
        <w:b/>
        <w:sz w:val="20"/>
      </w:rPr>
      <w:t>23</w:t>
    </w:r>
  </w:p>
  <w:p w:rsidR="006A62A9" w:rsidRDefault="006A62A9" w:rsidP="003074F3">
    <w:pPr>
      <w:spacing w:after="0"/>
      <w:jc w:val="center"/>
      <w:rPr>
        <w:b/>
        <w:sz w:val="20"/>
      </w:rPr>
    </w:pPr>
    <w:r w:rsidRPr="008648E5">
      <w:rPr>
        <w:b/>
        <w:sz w:val="20"/>
      </w:rPr>
      <w:t>“</w:t>
    </w:r>
    <w:r w:rsidR="005822B2" w:rsidRPr="005822B2">
      <w:rPr>
        <w:b/>
        <w:sz w:val="20"/>
        <w:lang w:val="es-ES"/>
      </w:rPr>
      <w:t>PROYECTO EJECUTIVO PARA LA CONSTRUCCIÓN POR SUSTITUCIÓN DEL HOSPITAL GENERAL DE 30 A 60 CAMAS DE FELIPE CARRILLO PUERTO, DEL ESTADO DE QUINTANA ROO</w:t>
    </w:r>
    <w:r w:rsidR="005822B2">
      <w:rPr>
        <w:b/>
        <w:sz w:val="20"/>
        <w:lang w:val="es-ES"/>
      </w:rPr>
      <w:t>”</w:t>
    </w:r>
  </w:p>
  <w:p w:rsidR="003074F3" w:rsidRDefault="003074F3" w:rsidP="003074F3">
    <w:pPr>
      <w:spacing w:after="0"/>
      <w:jc w:val="center"/>
      <w:rPr>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7"/>
    <w:multiLevelType w:val="multilevel"/>
    <w:tmpl w:val="E8629628"/>
    <w:lvl w:ilvl="0">
      <w:numFmt w:val="bullet"/>
      <w:lvlText w:val=""/>
      <w:lvlJc w:val="left"/>
      <w:pPr>
        <w:tabs>
          <w:tab w:val="num" w:pos="1070"/>
        </w:tabs>
        <w:ind w:left="1070" w:hanging="360"/>
      </w:pPr>
      <w:rPr>
        <w:rFonts w:ascii="Symbol" w:eastAsiaTheme="minorHAnsi" w:hAnsi="Symbol" w:cstheme="minorBidi" w:hint="default"/>
        <w:b/>
        <w:i w:val="0"/>
        <w:sz w:val="24"/>
        <w:szCs w:val="24"/>
      </w:rPr>
    </w:lvl>
    <w:lvl w:ilvl="1">
      <w:start w:val="1"/>
      <w:numFmt w:val="lowerLetter"/>
      <w:lvlText w:val="%2."/>
      <w:lvlJc w:val="left"/>
      <w:pPr>
        <w:tabs>
          <w:tab w:val="num" w:pos="1790"/>
        </w:tabs>
        <w:ind w:left="1790" w:hanging="360"/>
      </w:pPr>
      <w:rPr>
        <w:rFonts w:hint="default"/>
      </w:rPr>
    </w:lvl>
    <w:lvl w:ilvl="2">
      <w:start w:val="1"/>
      <w:numFmt w:val="bullet"/>
      <w:lvlText w:val=""/>
      <w:lvlJc w:val="left"/>
      <w:pPr>
        <w:tabs>
          <w:tab w:val="num" w:pos="2690"/>
        </w:tabs>
        <w:ind w:left="2690" w:hanging="360"/>
      </w:pPr>
      <w:rPr>
        <w:rFonts w:ascii="Wingdings" w:hAnsi="Wingdings" w:hint="default"/>
        <w:b/>
        <w:i w:val="0"/>
        <w:sz w:val="24"/>
        <w:szCs w:val="24"/>
      </w:rPr>
    </w:lvl>
    <w:lvl w:ilvl="3">
      <w:start w:val="1"/>
      <w:numFmt w:val="lowerRoman"/>
      <w:lvlText w:val="(%4)"/>
      <w:lvlJc w:val="left"/>
      <w:pPr>
        <w:tabs>
          <w:tab w:val="num" w:pos="3950"/>
        </w:tabs>
        <w:ind w:left="3950" w:hanging="1080"/>
      </w:pPr>
      <w:rPr>
        <w:rFonts w:hint="default"/>
        <w:b w:val="0"/>
      </w:rPr>
    </w:lvl>
    <w:lvl w:ilvl="4">
      <w:start w:val="1"/>
      <w:numFmt w:val="lowerLetter"/>
      <w:lvlText w:val="%5."/>
      <w:lvlJc w:val="left"/>
      <w:pPr>
        <w:tabs>
          <w:tab w:val="num" w:pos="3950"/>
        </w:tabs>
        <w:ind w:left="3950" w:hanging="360"/>
      </w:pPr>
      <w:rPr>
        <w:rFonts w:hint="default"/>
      </w:rPr>
    </w:lvl>
    <w:lvl w:ilvl="5">
      <w:start w:val="1"/>
      <w:numFmt w:val="lowerRoman"/>
      <w:lvlText w:val="%6."/>
      <w:lvlJc w:val="right"/>
      <w:pPr>
        <w:tabs>
          <w:tab w:val="num" w:pos="4670"/>
        </w:tabs>
        <w:ind w:left="4670" w:hanging="180"/>
      </w:pPr>
      <w:rPr>
        <w:rFonts w:hint="default"/>
      </w:rPr>
    </w:lvl>
    <w:lvl w:ilvl="6">
      <w:start w:val="1"/>
      <w:numFmt w:val="decimal"/>
      <w:lvlText w:val="%7."/>
      <w:lvlJc w:val="left"/>
      <w:pPr>
        <w:tabs>
          <w:tab w:val="num" w:pos="5390"/>
        </w:tabs>
        <w:ind w:left="5390" w:hanging="360"/>
      </w:pPr>
      <w:rPr>
        <w:rFonts w:hint="default"/>
      </w:rPr>
    </w:lvl>
    <w:lvl w:ilvl="7">
      <w:start w:val="1"/>
      <w:numFmt w:val="lowerLetter"/>
      <w:lvlText w:val="%8."/>
      <w:lvlJc w:val="left"/>
      <w:pPr>
        <w:tabs>
          <w:tab w:val="num" w:pos="6110"/>
        </w:tabs>
        <w:ind w:left="6110" w:hanging="360"/>
      </w:pPr>
      <w:rPr>
        <w:rFonts w:hint="default"/>
      </w:rPr>
    </w:lvl>
    <w:lvl w:ilvl="8">
      <w:start w:val="1"/>
      <w:numFmt w:val="lowerRoman"/>
      <w:lvlText w:val="%9."/>
      <w:lvlJc w:val="right"/>
      <w:pPr>
        <w:tabs>
          <w:tab w:val="num" w:pos="6830"/>
        </w:tabs>
        <w:ind w:left="6830" w:hanging="180"/>
      </w:pPr>
      <w:rPr>
        <w:rFonts w:hint="default"/>
      </w:rPr>
    </w:lvl>
  </w:abstractNum>
  <w:abstractNum w:abstractNumId="1">
    <w:nsid w:val="039D597B"/>
    <w:multiLevelType w:val="hybridMultilevel"/>
    <w:tmpl w:val="9B6019C4"/>
    <w:lvl w:ilvl="0" w:tplc="9C24A1AA">
      <w:start w:val="1"/>
      <w:numFmt w:val="upperRoman"/>
      <w:lvlText w:val="%1."/>
      <w:lvlJc w:val="left"/>
      <w:pPr>
        <w:ind w:left="2520" w:hanging="720"/>
      </w:pPr>
      <w:rPr>
        <w:rFonts w:hint="default"/>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2">
    <w:nsid w:val="186761B3"/>
    <w:multiLevelType w:val="multilevel"/>
    <w:tmpl w:val="7A4637A2"/>
    <w:lvl w:ilvl="0">
      <w:start w:val="1"/>
      <w:numFmt w:val="decimal"/>
      <w:lvlText w:val="%1."/>
      <w:lvlJc w:val="left"/>
      <w:pPr>
        <w:ind w:left="144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
    <w:nsid w:val="25956FC5"/>
    <w:multiLevelType w:val="multilevel"/>
    <w:tmpl w:val="D1DEBB7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4F732B0C"/>
    <w:multiLevelType w:val="hybridMultilevel"/>
    <w:tmpl w:val="6D468C1E"/>
    <w:lvl w:ilvl="0" w:tplc="61CC3F1E">
      <w:start w:val="1"/>
      <w:numFmt w:val="bullet"/>
      <w:lvlText w:val=""/>
      <w:lvlJc w:val="left"/>
      <w:pPr>
        <w:tabs>
          <w:tab w:val="num" w:pos="720"/>
        </w:tabs>
        <w:ind w:left="720" w:hanging="360"/>
      </w:pPr>
      <w:rPr>
        <w:rFonts w:ascii="Wingdings" w:hAnsi="Wingdings" w:hint="default"/>
      </w:rPr>
    </w:lvl>
    <w:lvl w:ilvl="1" w:tplc="D74AB4F8">
      <w:numFmt w:val="bullet"/>
      <w:lvlText w:val=""/>
      <w:lvlJc w:val="left"/>
      <w:pPr>
        <w:tabs>
          <w:tab w:val="num" w:pos="-180"/>
        </w:tabs>
        <w:ind w:left="-180" w:hanging="360"/>
      </w:pPr>
      <w:rPr>
        <w:rFonts w:ascii="Symbol" w:eastAsiaTheme="minorHAnsi" w:hAnsi="Symbol" w:cstheme="minorBidi" w:hint="default"/>
      </w:rPr>
    </w:lvl>
    <w:lvl w:ilvl="2" w:tplc="0C0A0005" w:tentative="1">
      <w:start w:val="1"/>
      <w:numFmt w:val="bullet"/>
      <w:lvlText w:val=""/>
      <w:lvlJc w:val="left"/>
      <w:pPr>
        <w:tabs>
          <w:tab w:val="num" w:pos="540"/>
        </w:tabs>
        <w:ind w:left="540" w:hanging="360"/>
      </w:pPr>
      <w:rPr>
        <w:rFonts w:ascii="Wingdings" w:hAnsi="Wingdings" w:hint="default"/>
      </w:rPr>
    </w:lvl>
    <w:lvl w:ilvl="3" w:tplc="0C0A0001" w:tentative="1">
      <w:start w:val="1"/>
      <w:numFmt w:val="bullet"/>
      <w:lvlText w:val=""/>
      <w:lvlJc w:val="left"/>
      <w:pPr>
        <w:tabs>
          <w:tab w:val="num" w:pos="1260"/>
        </w:tabs>
        <w:ind w:left="1260" w:hanging="360"/>
      </w:pPr>
      <w:rPr>
        <w:rFonts w:ascii="Symbol" w:hAnsi="Symbol" w:hint="default"/>
      </w:rPr>
    </w:lvl>
    <w:lvl w:ilvl="4" w:tplc="0C0A0003" w:tentative="1">
      <w:start w:val="1"/>
      <w:numFmt w:val="bullet"/>
      <w:lvlText w:val="o"/>
      <w:lvlJc w:val="left"/>
      <w:pPr>
        <w:tabs>
          <w:tab w:val="num" w:pos="1980"/>
        </w:tabs>
        <w:ind w:left="1980" w:hanging="360"/>
      </w:pPr>
      <w:rPr>
        <w:rFonts w:ascii="Courier New" w:hAnsi="Courier New" w:cs="Courier New" w:hint="default"/>
      </w:rPr>
    </w:lvl>
    <w:lvl w:ilvl="5" w:tplc="0C0A0005" w:tentative="1">
      <w:start w:val="1"/>
      <w:numFmt w:val="bullet"/>
      <w:lvlText w:val=""/>
      <w:lvlJc w:val="left"/>
      <w:pPr>
        <w:tabs>
          <w:tab w:val="num" w:pos="2700"/>
        </w:tabs>
        <w:ind w:left="2700" w:hanging="360"/>
      </w:pPr>
      <w:rPr>
        <w:rFonts w:ascii="Wingdings" w:hAnsi="Wingdings" w:hint="default"/>
      </w:rPr>
    </w:lvl>
    <w:lvl w:ilvl="6" w:tplc="0C0A0001" w:tentative="1">
      <w:start w:val="1"/>
      <w:numFmt w:val="bullet"/>
      <w:lvlText w:val=""/>
      <w:lvlJc w:val="left"/>
      <w:pPr>
        <w:tabs>
          <w:tab w:val="num" w:pos="3420"/>
        </w:tabs>
        <w:ind w:left="3420" w:hanging="360"/>
      </w:pPr>
      <w:rPr>
        <w:rFonts w:ascii="Symbol" w:hAnsi="Symbol" w:hint="default"/>
      </w:rPr>
    </w:lvl>
    <w:lvl w:ilvl="7" w:tplc="0C0A0003" w:tentative="1">
      <w:start w:val="1"/>
      <w:numFmt w:val="bullet"/>
      <w:lvlText w:val="o"/>
      <w:lvlJc w:val="left"/>
      <w:pPr>
        <w:tabs>
          <w:tab w:val="num" w:pos="4140"/>
        </w:tabs>
        <w:ind w:left="4140" w:hanging="360"/>
      </w:pPr>
      <w:rPr>
        <w:rFonts w:ascii="Courier New" w:hAnsi="Courier New" w:cs="Courier New" w:hint="default"/>
      </w:rPr>
    </w:lvl>
    <w:lvl w:ilvl="8" w:tplc="0C0A0005" w:tentative="1">
      <w:start w:val="1"/>
      <w:numFmt w:val="bullet"/>
      <w:lvlText w:val=""/>
      <w:lvlJc w:val="left"/>
      <w:pPr>
        <w:tabs>
          <w:tab w:val="num" w:pos="4860"/>
        </w:tabs>
        <w:ind w:left="4860" w:hanging="360"/>
      </w:pPr>
      <w:rPr>
        <w:rFonts w:ascii="Wingdings" w:hAnsi="Wingdings" w:hint="default"/>
      </w:rPr>
    </w:lvl>
  </w:abstractNum>
  <w:abstractNum w:abstractNumId="5">
    <w:nsid w:val="5C5039CD"/>
    <w:multiLevelType w:val="hybridMultilevel"/>
    <w:tmpl w:val="276CD726"/>
    <w:lvl w:ilvl="0" w:tplc="D74AB4F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D580BD8"/>
    <w:multiLevelType w:val="hybridMultilevel"/>
    <w:tmpl w:val="26F4E1B4"/>
    <w:lvl w:ilvl="0" w:tplc="D74AB4F8">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35C68BF"/>
    <w:multiLevelType w:val="hybridMultilevel"/>
    <w:tmpl w:val="AFCCC84E"/>
    <w:styleLink w:val="Estilo322"/>
    <w:lvl w:ilvl="0" w:tplc="CB065434">
      <w:start w:val="1"/>
      <w:numFmt w:val="bullet"/>
      <w:lvlText w:val=""/>
      <w:lvlJc w:val="left"/>
      <w:pPr>
        <w:tabs>
          <w:tab w:val="num" w:pos="5464"/>
        </w:tabs>
        <w:ind w:left="5464" w:hanging="360"/>
      </w:pPr>
      <w:rPr>
        <w:rFonts w:ascii="Wingdings" w:hAnsi="Wingdings"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5"/>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F8"/>
    <w:rsid w:val="00027270"/>
    <w:rsid w:val="000E0DA0"/>
    <w:rsid w:val="000F7606"/>
    <w:rsid w:val="001133F9"/>
    <w:rsid w:val="0012730F"/>
    <w:rsid w:val="00131483"/>
    <w:rsid w:val="00156749"/>
    <w:rsid w:val="0016310A"/>
    <w:rsid w:val="00194ADB"/>
    <w:rsid w:val="001B1AA2"/>
    <w:rsid w:val="002C2927"/>
    <w:rsid w:val="002F07A2"/>
    <w:rsid w:val="003074F3"/>
    <w:rsid w:val="00385EC8"/>
    <w:rsid w:val="00394C7C"/>
    <w:rsid w:val="003C0BC6"/>
    <w:rsid w:val="003D4CA9"/>
    <w:rsid w:val="003E4E4D"/>
    <w:rsid w:val="004065A4"/>
    <w:rsid w:val="00464037"/>
    <w:rsid w:val="00471798"/>
    <w:rsid w:val="004D2AC7"/>
    <w:rsid w:val="00565909"/>
    <w:rsid w:val="005822B2"/>
    <w:rsid w:val="00584330"/>
    <w:rsid w:val="005A17F8"/>
    <w:rsid w:val="005E0600"/>
    <w:rsid w:val="006376D4"/>
    <w:rsid w:val="0069094B"/>
    <w:rsid w:val="006A62A9"/>
    <w:rsid w:val="006E6911"/>
    <w:rsid w:val="00714A41"/>
    <w:rsid w:val="00717CBD"/>
    <w:rsid w:val="00721AA7"/>
    <w:rsid w:val="007C1C6D"/>
    <w:rsid w:val="007D1272"/>
    <w:rsid w:val="008648E5"/>
    <w:rsid w:val="00886705"/>
    <w:rsid w:val="008D76E6"/>
    <w:rsid w:val="008E206A"/>
    <w:rsid w:val="00A067DB"/>
    <w:rsid w:val="00A115A4"/>
    <w:rsid w:val="00A72A80"/>
    <w:rsid w:val="00AE7A46"/>
    <w:rsid w:val="00B350E1"/>
    <w:rsid w:val="00B37533"/>
    <w:rsid w:val="00B43D0B"/>
    <w:rsid w:val="00B4539F"/>
    <w:rsid w:val="00BF6DEE"/>
    <w:rsid w:val="00C4733E"/>
    <w:rsid w:val="00C65282"/>
    <w:rsid w:val="00CA49F4"/>
    <w:rsid w:val="00CE4592"/>
    <w:rsid w:val="00CF52FB"/>
    <w:rsid w:val="00CF551D"/>
    <w:rsid w:val="00D84530"/>
    <w:rsid w:val="00DB4653"/>
    <w:rsid w:val="00E30382"/>
    <w:rsid w:val="00E81133"/>
    <w:rsid w:val="00EC6D90"/>
    <w:rsid w:val="00F135AE"/>
    <w:rsid w:val="00F43B4F"/>
    <w:rsid w:val="00F655C9"/>
    <w:rsid w:val="00FD5EDB"/>
    <w:rsid w:val="00FD6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021732-C1C2-4D47-979E-CE802D18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17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17F8"/>
    <w:rPr>
      <w:lang w:val="es-ES_tradnl"/>
    </w:rPr>
  </w:style>
  <w:style w:type="paragraph" w:styleId="Piedepgina">
    <w:name w:val="footer"/>
    <w:basedOn w:val="Normal"/>
    <w:link w:val="PiedepginaCar"/>
    <w:uiPriority w:val="99"/>
    <w:unhideWhenUsed/>
    <w:rsid w:val="005A17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17F8"/>
    <w:rPr>
      <w:lang w:val="es-ES_tradnl"/>
    </w:rPr>
  </w:style>
  <w:style w:type="paragraph" w:styleId="Prrafodelista">
    <w:name w:val="List Paragraph"/>
    <w:basedOn w:val="Normal"/>
    <w:uiPriority w:val="34"/>
    <w:qFormat/>
    <w:rsid w:val="003E4E4D"/>
    <w:pPr>
      <w:ind w:left="720"/>
      <w:contextualSpacing/>
    </w:pPr>
  </w:style>
  <w:style w:type="paragraph" w:customStyle="1" w:styleId="Textoindependiente21">
    <w:name w:val="Texto independiente 21"/>
    <w:basedOn w:val="Normal"/>
    <w:rsid w:val="00385EC8"/>
    <w:pPr>
      <w:spacing w:after="0" w:line="240" w:lineRule="auto"/>
      <w:ind w:left="851"/>
      <w:jc w:val="both"/>
    </w:pPr>
    <w:rPr>
      <w:rFonts w:ascii="Arial" w:eastAsia="Times New Roman" w:hAnsi="Arial" w:cs="Times New Roman"/>
      <w:color w:val="000000"/>
      <w:sz w:val="24"/>
      <w:szCs w:val="20"/>
      <w:lang w:eastAsia="es-ES"/>
    </w:rPr>
  </w:style>
  <w:style w:type="numbering" w:customStyle="1" w:styleId="Estilo322">
    <w:name w:val="Estilo322"/>
    <w:rsid w:val="00721AA7"/>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89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2865</Words>
  <Characters>15760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U.F.</dc:creator>
  <cp:keywords/>
  <dc:description/>
  <cp:lastModifiedBy>HP Inc.</cp:lastModifiedBy>
  <cp:revision>2</cp:revision>
  <dcterms:created xsi:type="dcterms:W3CDTF">2023-02-09T00:22:00Z</dcterms:created>
  <dcterms:modified xsi:type="dcterms:W3CDTF">2023-02-09T00:22:00Z</dcterms:modified>
</cp:coreProperties>
</file>